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EE6D" w14:textId="77777777" w:rsidR="00F87CD9" w:rsidRPr="002F3E17" w:rsidRDefault="00F87CD9" w:rsidP="00F87CD9">
      <w:pPr>
        <w:jc w:val="center"/>
        <w:rPr>
          <w:rFonts w:asciiTheme="majorHAnsi" w:hAnsiTheme="majorHAnsi"/>
          <w:b/>
          <w:sz w:val="32"/>
          <w:szCs w:val="32"/>
        </w:rPr>
      </w:pPr>
      <w:r w:rsidRPr="002F3E17">
        <w:rPr>
          <w:rFonts w:asciiTheme="majorHAnsi" w:hAnsiTheme="majorHAnsi"/>
          <w:b/>
          <w:sz w:val="32"/>
          <w:szCs w:val="32"/>
        </w:rPr>
        <w:t xml:space="preserve">Stage 3 Master Schedule Notebook Contents </w:t>
      </w:r>
    </w:p>
    <w:p w14:paraId="4E548D02" w14:textId="77777777" w:rsidR="00F87CD9" w:rsidRPr="002F3E17" w:rsidRDefault="00F87CD9" w:rsidP="00F87CD9">
      <w:pPr>
        <w:jc w:val="center"/>
        <w:rPr>
          <w:rFonts w:asciiTheme="majorHAnsi" w:hAnsiTheme="majorHAnsi"/>
          <w:b/>
          <w:sz w:val="32"/>
          <w:szCs w:val="32"/>
        </w:rPr>
      </w:pPr>
      <w:r w:rsidRPr="002F3E17">
        <w:rPr>
          <w:rFonts w:asciiTheme="majorHAnsi" w:hAnsiTheme="majorHAnsi"/>
          <w:b/>
          <w:sz w:val="32"/>
          <w:szCs w:val="32"/>
        </w:rPr>
        <w:t xml:space="preserve">&amp; Stage 3 Cover Sheet </w:t>
      </w:r>
    </w:p>
    <w:p w14:paraId="1CB27586" w14:textId="77777777" w:rsidR="00F87CD9" w:rsidRPr="002F3E17" w:rsidRDefault="00F87CD9" w:rsidP="00F87CD9">
      <w:pPr>
        <w:rPr>
          <w:rFonts w:asciiTheme="majorHAnsi" w:hAnsiTheme="majorHAnsi"/>
        </w:rPr>
      </w:pPr>
    </w:p>
    <w:p w14:paraId="05534976" w14:textId="77777777" w:rsidR="00F87CD9" w:rsidRPr="002F3E17" w:rsidRDefault="00F87CD9" w:rsidP="00F87CD9">
      <w:pPr>
        <w:rPr>
          <w:rFonts w:asciiTheme="majorHAnsi" w:hAnsiTheme="majorHAnsi" w:cs="Times New Roman"/>
          <w:color w:val="000000"/>
          <w:sz w:val="23"/>
          <w:szCs w:val="23"/>
        </w:rPr>
      </w:pPr>
    </w:p>
    <w:p w14:paraId="0AB8A325" w14:textId="77777777" w:rsidR="0023517D" w:rsidRDefault="00F87CD9" w:rsidP="0023517D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2F3E17">
        <w:rPr>
          <w:rFonts w:asciiTheme="majorHAnsi" w:hAnsiTheme="majorHAnsi" w:cs="Times New Roman"/>
          <w:color w:val="000000"/>
          <w:sz w:val="23"/>
          <w:szCs w:val="23"/>
        </w:rPr>
        <w:t>The Master Schedule Notebook serves as a repository for recording scheduling data, ideas, insights, decisions, etc. at ever</w:t>
      </w:r>
      <w:r w:rsidR="00D14ED2" w:rsidRPr="002F3E17">
        <w:rPr>
          <w:rFonts w:asciiTheme="majorHAnsi" w:hAnsiTheme="majorHAnsi" w:cs="Times New Roman"/>
          <w:color w:val="000000"/>
          <w:sz w:val="23"/>
          <w:szCs w:val="23"/>
        </w:rPr>
        <w:t>y stage of the Master Schedule development</w:t>
      </w:r>
      <w:r w:rsidRPr="002F3E17">
        <w:rPr>
          <w:rFonts w:asciiTheme="majorHAnsi" w:hAnsiTheme="majorHAnsi" w:cs="Times New Roman"/>
          <w:color w:val="000000"/>
          <w:sz w:val="23"/>
          <w:szCs w:val="23"/>
        </w:rPr>
        <w:t xml:space="preserve"> process. It documents the process, the results, and the learning that occurs along the way.</w:t>
      </w:r>
      <w:r w:rsidR="0023517D">
        <w:rPr>
          <w:rFonts w:asciiTheme="majorHAnsi" w:hAnsiTheme="majorHAnsi" w:cs="Times New Roman"/>
          <w:color w:val="000000"/>
          <w:sz w:val="23"/>
          <w:szCs w:val="23"/>
        </w:rPr>
        <w:t xml:space="preserve">  </w:t>
      </w:r>
      <w:r w:rsidR="0023517D">
        <w:rPr>
          <w:rFonts w:asciiTheme="majorHAnsi" w:hAnsiTheme="majorHAnsi" w:cs="Times New Roman"/>
          <w:color w:val="000000"/>
          <w:sz w:val="23"/>
          <w:szCs w:val="23"/>
        </w:rPr>
        <w:t xml:space="preserve">The Notebook informs the cycle of continuous master schedule improvement and provides a record and a journey map for future master schedule teams. </w:t>
      </w:r>
    </w:p>
    <w:p w14:paraId="172D2CD8" w14:textId="77777777" w:rsidR="00F87CD9" w:rsidRPr="002F3E17" w:rsidRDefault="00F87CD9" w:rsidP="00F87CD9">
      <w:pPr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14:paraId="3B1E2A31" w14:textId="77777777" w:rsidR="00F87CD9" w:rsidRPr="002F3E17" w:rsidRDefault="00F87CD9" w:rsidP="00F87CD9">
      <w:pPr>
        <w:rPr>
          <w:rFonts w:asciiTheme="majorHAnsi" w:hAnsiTheme="majorHAnsi" w:cs="Times New Roman"/>
          <w:sz w:val="20"/>
          <w:szCs w:val="20"/>
        </w:rPr>
      </w:pPr>
      <w:r w:rsidRPr="002F3E17">
        <w:rPr>
          <w:rFonts w:asciiTheme="majorHAnsi" w:hAnsiTheme="majorHAnsi" w:cs="Times New Roman"/>
          <w:color w:val="000000"/>
          <w:sz w:val="23"/>
          <w:szCs w:val="23"/>
        </w:rPr>
        <w:t>The Master Schedule Notebook/Log/Journal/Portfolio may be maintained in a binder, as a set of folders, as a set of files on a platform such as Google Drive, or elsewhere in the cloud.</w:t>
      </w:r>
    </w:p>
    <w:p w14:paraId="77F91AA9" w14:textId="77777777" w:rsidR="00F87CD9" w:rsidRPr="002F3E17" w:rsidRDefault="00F87CD9" w:rsidP="00F87CD9">
      <w:pPr>
        <w:rPr>
          <w:rFonts w:asciiTheme="majorHAnsi" w:hAnsiTheme="majorHAnsi"/>
        </w:rPr>
      </w:pPr>
      <w:r w:rsidRPr="002F3E17">
        <w:rPr>
          <w:rFonts w:asciiTheme="majorHAnsi" w:hAnsiTheme="majorHAnsi"/>
        </w:rPr>
        <w:t xml:space="preserve"> </w:t>
      </w:r>
    </w:p>
    <w:p w14:paraId="2A80ADC5" w14:textId="77777777" w:rsidR="00F87CD9" w:rsidRPr="002F3E17" w:rsidRDefault="00F87CD9" w:rsidP="00F87CD9">
      <w:pPr>
        <w:rPr>
          <w:rFonts w:asciiTheme="majorHAnsi" w:hAnsiTheme="majorHAnsi"/>
        </w:rPr>
      </w:pPr>
      <w:r w:rsidRPr="002F3E17">
        <w:rPr>
          <w:rFonts w:asciiTheme="majorHAnsi" w:hAnsiTheme="majorHAnsi"/>
        </w:rPr>
        <w:t xml:space="preserve">Suggested Stage 3 Artifacts for Inclusion in the Master Schedule 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7799"/>
      </w:tblGrid>
      <w:tr w:rsidR="00F87CD9" w:rsidRPr="002F3E17" w14:paraId="4216F878" w14:textId="77777777" w:rsidTr="00F87CD9">
        <w:tc>
          <w:tcPr>
            <w:tcW w:w="0" w:type="auto"/>
          </w:tcPr>
          <w:p w14:paraId="25973975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Check if </w:t>
            </w:r>
          </w:p>
          <w:p w14:paraId="3583FDA5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Included </w:t>
            </w:r>
          </w:p>
        </w:tc>
        <w:tc>
          <w:tcPr>
            <w:tcW w:w="0" w:type="auto"/>
          </w:tcPr>
          <w:p w14:paraId="23A66900" w14:textId="77777777" w:rsidR="00F87CD9" w:rsidRPr="002F3E17" w:rsidRDefault="00F87CD9" w:rsidP="00F87CD9">
            <w:pPr>
              <w:rPr>
                <w:rFonts w:asciiTheme="majorHAnsi" w:hAnsiTheme="majorHAnsi"/>
                <w:b/>
              </w:rPr>
            </w:pPr>
            <w:r w:rsidRPr="002F3E17">
              <w:rPr>
                <w:rFonts w:asciiTheme="majorHAnsi" w:hAnsiTheme="majorHAnsi"/>
                <w:b/>
              </w:rPr>
              <w:t xml:space="preserve">Stage 3 Master Schedule Notebook – Recommended Artifacts </w:t>
            </w:r>
          </w:p>
        </w:tc>
      </w:tr>
      <w:tr w:rsidR="00F87CD9" w:rsidRPr="002F3E17" w14:paraId="109B5AF0" w14:textId="77777777" w:rsidTr="00F87CD9">
        <w:tc>
          <w:tcPr>
            <w:tcW w:w="0" w:type="auto"/>
          </w:tcPr>
          <w:p w14:paraId="0646FAC6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C0F35F9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</w:t>
            </w:r>
            <w:r w:rsidR="0035415A" w:rsidRPr="002F3E17">
              <w:rPr>
                <w:rFonts w:asciiTheme="majorHAnsi" w:hAnsiTheme="majorHAnsi"/>
              </w:rPr>
              <w:t xml:space="preserve">District or site </w:t>
            </w:r>
            <w:r w:rsidRPr="002F3E17">
              <w:rPr>
                <w:rFonts w:asciiTheme="majorHAnsi" w:hAnsiTheme="majorHAnsi"/>
              </w:rPr>
              <w:t>strategy for flagging/tagging pathway/academy courses</w:t>
            </w:r>
            <w:r w:rsidR="00CC696E" w:rsidRPr="002F3E17">
              <w:rPr>
                <w:rFonts w:asciiTheme="majorHAnsi" w:hAnsiTheme="majorHAnsi"/>
              </w:rPr>
              <w:t xml:space="preserve"> and pathway/academy students</w:t>
            </w:r>
            <w:r w:rsidRPr="002F3E17">
              <w:rPr>
                <w:rFonts w:asciiTheme="majorHAnsi" w:hAnsiTheme="majorHAnsi"/>
              </w:rPr>
              <w:t xml:space="preserve"> </w:t>
            </w:r>
          </w:p>
          <w:p w14:paraId="1E968C91" w14:textId="77777777" w:rsidR="00F87CD9" w:rsidRPr="002F3E17" w:rsidRDefault="00F87CD9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35415A" w:rsidRPr="002F3E17" w14:paraId="770DFC31" w14:textId="77777777" w:rsidTr="00F87CD9">
        <w:tc>
          <w:tcPr>
            <w:tcW w:w="0" w:type="auto"/>
          </w:tcPr>
          <w:p w14:paraId="32FC6EDF" w14:textId="77777777" w:rsidR="0035415A" w:rsidRPr="002F3E17" w:rsidRDefault="0035415A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9363802" w14:textId="24723AB1" w:rsidR="0035415A" w:rsidRPr="002F3E17" w:rsidRDefault="0035415A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process for </w:t>
            </w:r>
            <w:r w:rsidR="00403476">
              <w:rPr>
                <w:rFonts w:asciiTheme="majorHAnsi" w:hAnsiTheme="majorHAnsi"/>
              </w:rPr>
              <w:t xml:space="preserve">updating </w:t>
            </w:r>
            <w:r w:rsidRPr="002F3E17">
              <w:rPr>
                <w:rFonts w:asciiTheme="majorHAnsi" w:hAnsiTheme="majorHAnsi"/>
              </w:rPr>
              <w:t xml:space="preserve">any </w:t>
            </w:r>
            <w:r w:rsidR="00403476">
              <w:rPr>
                <w:rFonts w:asciiTheme="majorHAnsi" w:hAnsiTheme="majorHAnsi"/>
              </w:rPr>
              <w:t xml:space="preserve">data </w:t>
            </w:r>
            <w:r w:rsidRPr="002F3E17">
              <w:rPr>
                <w:rFonts w:asciiTheme="majorHAnsi" w:hAnsiTheme="majorHAnsi"/>
              </w:rPr>
              <w:t>and as</w:t>
            </w:r>
            <w:r w:rsidR="00403476">
              <w:rPr>
                <w:rFonts w:asciiTheme="majorHAnsi" w:hAnsiTheme="majorHAnsi"/>
              </w:rPr>
              <w:t>suring accuracy of data entries</w:t>
            </w:r>
            <w:r w:rsidRPr="002F3E17">
              <w:rPr>
                <w:rFonts w:asciiTheme="majorHAnsi" w:hAnsiTheme="majorHAnsi"/>
              </w:rPr>
              <w:t xml:space="preserve"> in the Student Information System</w:t>
            </w:r>
          </w:p>
          <w:p w14:paraId="500F53C8" w14:textId="77777777" w:rsidR="0035415A" w:rsidRPr="002F3E17" w:rsidRDefault="0035415A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3F553F" w:rsidRPr="002F3E17" w14:paraId="14AD1552" w14:textId="77777777" w:rsidTr="00F87CD9">
        <w:tc>
          <w:tcPr>
            <w:tcW w:w="0" w:type="auto"/>
          </w:tcPr>
          <w:p w14:paraId="6E90CA26" w14:textId="77777777" w:rsidR="003F553F" w:rsidRPr="002F3E17" w:rsidRDefault="003F553F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3A818CD" w14:textId="77777777" w:rsidR="003F553F" w:rsidRPr="002F3E17" w:rsidRDefault="003F553F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the method used to set up pathway/academy cohorts in the Student Information System</w:t>
            </w:r>
          </w:p>
          <w:p w14:paraId="22CC5A33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3F553F" w:rsidRPr="002F3E17" w14:paraId="621EE93B" w14:textId="77777777" w:rsidTr="00F87CD9">
        <w:tc>
          <w:tcPr>
            <w:tcW w:w="0" w:type="auto"/>
          </w:tcPr>
          <w:p w14:paraId="4F17A682" w14:textId="77777777" w:rsidR="003F553F" w:rsidRPr="002F3E17" w:rsidRDefault="003F553F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95B9A26" w14:textId="77777777" w:rsidR="003F553F" w:rsidRPr="002F3E17" w:rsidRDefault="003F553F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method used to set up Linked and Blocked sections in the Student Information System</w:t>
            </w:r>
          </w:p>
          <w:p w14:paraId="2A35843D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35415A" w:rsidRPr="002F3E17" w14:paraId="67737286" w14:textId="77777777" w:rsidTr="00F87CD9">
        <w:tc>
          <w:tcPr>
            <w:tcW w:w="0" w:type="auto"/>
          </w:tcPr>
          <w:p w14:paraId="56E66ACD" w14:textId="77777777" w:rsidR="0035415A" w:rsidRPr="002F3E17" w:rsidRDefault="0035415A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09C29AA" w14:textId="77777777" w:rsidR="0035415A" w:rsidRPr="002F3E17" w:rsidRDefault="0035415A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</w:t>
            </w:r>
            <w:r w:rsidR="00EA48B4" w:rsidRPr="002F3E17">
              <w:rPr>
                <w:rFonts w:asciiTheme="majorHAnsi" w:hAnsiTheme="majorHAnsi"/>
              </w:rPr>
              <w:t>the agreed-upon order of placement of courses on the Master Schedule Board (with a Linked Learning lens)</w:t>
            </w:r>
          </w:p>
          <w:p w14:paraId="61F74DE0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3F3BF014" w14:textId="77777777" w:rsidTr="00F87CD9">
        <w:tc>
          <w:tcPr>
            <w:tcW w:w="0" w:type="auto"/>
          </w:tcPr>
          <w:p w14:paraId="52FD6AF3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EFCD82C" w14:textId="77777777" w:rsidR="00EA48B4" w:rsidRPr="002F3E17" w:rsidRDefault="00EA48B4" w:rsidP="00403476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strategies used for assuring “purely” scheduled academy/pathway courses – and the results </w:t>
            </w:r>
          </w:p>
          <w:p w14:paraId="24FDFF68" w14:textId="77777777" w:rsidR="00EA48B4" w:rsidRPr="002F3E17" w:rsidRDefault="00EA48B4" w:rsidP="0040347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0799A667" w14:textId="77777777" w:rsidTr="00F87CD9">
        <w:tc>
          <w:tcPr>
            <w:tcW w:w="0" w:type="auto"/>
          </w:tcPr>
          <w:p w14:paraId="79760B0D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092DF1E" w14:textId="77777777" w:rsidR="00EA48B4" w:rsidRPr="002F3E17" w:rsidRDefault="00EA48B4" w:rsidP="00403476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strategies used for assuring common planning time for pathway/academy teacher teams – and the results </w:t>
            </w:r>
          </w:p>
          <w:p w14:paraId="5D86633B" w14:textId="77777777" w:rsidR="00EA48B4" w:rsidRPr="002F3E17" w:rsidRDefault="00EA48B4" w:rsidP="0040347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3D85D19F" w14:textId="77777777" w:rsidTr="00F87CD9">
        <w:tc>
          <w:tcPr>
            <w:tcW w:w="0" w:type="auto"/>
          </w:tcPr>
          <w:p w14:paraId="2C917A56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40F0291" w14:textId="77777777" w:rsidR="00EA48B4" w:rsidRPr="002F3E17" w:rsidRDefault="00EA48B4" w:rsidP="00403476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strategies used for assuring time for work-based learning in the schedule.</w:t>
            </w:r>
          </w:p>
          <w:p w14:paraId="2EE25FE6" w14:textId="77777777" w:rsidR="00EA48B4" w:rsidRPr="002F3E17" w:rsidRDefault="00EA48B4" w:rsidP="0040347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74EC3793" w14:textId="77777777" w:rsidTr="00F87CD9">
        <w:tc>
          <w:tcPr>
            <w:tcW w:w="0" w:type="auto"/>
          </w:tcPr>
          <w:p w14:paraId="51C79D26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1E49338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strategies to reduce the number of Singleton/Doubleton conflicts in the Master Schedule</w:t>
            </w:r>
          </w:p>
          <w:p w14:paraId="68F0B211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7A480492" w14:textId="77777777" w:rsidTr="00F87CD9">
        <w:tc>
          <w:tcPr>
            <w:tcW w:w="0" w:type="auto"/>
          </w:tcPr>
          <w:p w14:paraId="251CF6D8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3367A6F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strategies to provide equal access to all courses for all students</w:t>
            </w:r>
          </w:p>
          <w:p w14:paraId="3C03D67B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672BAC80" w14:textId="77777777" w:rsidTr="00F87CD9">
        <w:tc>
          <w:tcPr>
            <w:tcW w:w="0" w:type="auto"/>
          </w:tcPr>
          <w:p w14:paraId="37E457B7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E05D8ED" w14:textId="77777777" w:rsidR="00EA48B4" w:rsidRPr="002F3E17" w:rsidRDefault="00EA48B4" w:rsidP="000436D7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strategies used for full inclusion in pathways and/or for the placement of Special Education students</w:t>
            </w:r>
          </w:p>
          <w:p w14:paraId="515FE6F2" w14:textId="77777777" w:rsidR="00EA48B4" w:rsidRPr="002F3E17" w:rsidRDefault="00EA48B4" w:rsidP="000436D7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1FFE97F5" w14:textId="77777777" w:rsidTr="00F87CD9">
        <w:tc>
          <w:tcPr>
            <w:tcW w:w="0" w:type="auto"/>
          </w:tcPr>
          <w:p w14:paraId="11859B7F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AB0751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your strategies used for inclusion in pathways and/or for the placement of English Language Learner students </w:t>
            </w:r>
          </w:p>
          <w:p w14:paraId="35448066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32269AC8" w14:textId="77777777" w:rsidTr="00F87CD9">
        <w:tc>
          <w:tcPr>
            <w:tcW w:w="0" w:type="auto"/>
          </w:tcPr>
          <w:p w14:paraId="05184FC0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0B81FA4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strategies for the placement of Advanced Placement, International Baccalaureate and/or other advanced Courses </w:t>
            </w:r>
          </w:p>
          <w:p w14:paraId="02A29479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1CB35C66" w14:textId="77777777" w:rsidTr="00F87CD9">
        <w:tc>
          <w:tcPr>
            <w:tcW w:w="0" w:type="auto"/>
          </w:tcPr>
          <w:p w14:paraId="0E0CC6AD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B2E8110" w14:textId="77777777" w:rsidR="00EA48B4" w:rsidRPr="002F3E17" w:rsidRDefault="00EA48B4" w:rsidP="00EA48B4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strategies and best/emerging practices for assuring access to dual enrollment and college credit-bearing courses for students.</w:t>
            </w:r>
          </w:p>
          <w:p w14:paraId="621A0EB7" w14:textId="77777777" w:rsidR="00EA48B4" w:rsidRPr="002F3E17" w:rsidRDefault="00EA48B4" w:rsidP="00EA48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22C88304" w14:textId="77777777" w:rsidTr="00F87CD9">
        <w:tc>
          <w:tcPr>
            <w:tcW w:w="0" w:type="auto"/>
          </w:tcPr>
          <w:p w14:paraId="27EC6755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344FD26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Description of Honors by Exhibition or Imbedded Honors strategies </w:t>
            </w:r>
          </w:p>
          <w:p w14:paraId="78B06967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6F9BF567" w14:textId="77777777" w:rsidTr="00F87CD9">
        <w:tc>
          <w:tcPr>
            <w:tcW w:w="0" w:type="auto"/>
          </w:tcPr>
          <w:p w14:paraId="0156E7D4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E086C68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process for determining teacher assignments</w:t>
            </w:r>
          </w:p>
          <w:p w14:paraId="2433BB0F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7A85ABE7" w14:textId="77777777" w:rsidTr="00F87CD9">
        <w:tc>
          <w:tcPr>
            <w:tcW w:w="0" w:type="auto"/>
          </w:tcPr>
          <w:p w14:paraId="4D227125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D5B74AE" w14:textId="77777777" w:rsidR="00EA48B4" w:rsidRPr="002F3E17" w:rsidRDefault="00EA48B4" w:rsidP="00CC696E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process for determining room assignments</w:t>
            </w:r>
          </w:p>
          <w:p w14:paraId="789801B0" w14:textId="77777777" w:rsidR="00EA48B4" w:rsidRPr="002F3E17" w:rsidRDefault="00EA48B4" w:rsidP="00CC696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0A315030" w14:textId="77777777" w:rsidTr="00F87CD9">
        <w:tc>
          <w:tcPr>
            <w:tcW w:w="0" w:type="auto"/>
          </w:tcPr>
          <w:p w14:paraId="7520BD91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4155F3D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process to conduct a Simulation Run</w:t>
            </w:r>
          </w:p>
          <w:p w14:paraId="42F34881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1C5552A0" w14:textId="77777777" w:rsidTr="00F87CD9">
        <w:tc>
          <w:tcPr>
            <w:tcW w:w="0" w:type="auto"/>
          </w:tcPr>
          <w:p w14:paraId="20DDF451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DF287B6" w14:textId="77777777" w:rsidR="00EA48B4" w:rsidRPr="002F3E17" w:rsidRDefault="00EA48B4" w:rsidP="0035415A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process for balancing classes</w:t>
            </w:r>
          </w:p>
          <w:p w14:paraId="5C4D4B79" w14:textId="77777777" w:rsidR="00EA48B4" w:rsidRPr="002F3E17" w:rsidRDefault="00EA48B4" w:rsidP="0035415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B34FD" w:rsidRPr="002F3E17" w14:paraId="27DCEA96" w14:textId="77777777" w:rsidTr="00F87CD9">
        <w:tc>
          <w:tcPr>
            <w:tcW w:w="0" w:type="auto"/>
          </w:tcPr>
          <w:p w14:paraId="104F8CA9" w14:textId="77777777" w:rsidR="00AB34FD" w:rsidRPr="002F3E17" w:rsidRDefault="00AB34FD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6D3DC47" w14:textId="77777777" w:rsidR="00AB34FD" w:rsidRDefault="00AB34FD" w:rsidP="003541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of any master schedule communication with stakeholders (master schedule update, communication with pathway leads</w:t>
            </w:r>
            <w:r w:rsidR="002932D5">
              <w:rPr>
                <w:rFonts w:asciiTheme="majorHAnsi" w:hAnsiTheme="majorHAnsi"/>
              </w:rPr>
              <w:t>/ department heads</w:t>
            </w:r>
            <w:r>
              <w:rPr>
                <w:rFonts w:asciiTheme="majorHAnsi" w:hAnsiTheme="majorHAnsi"/>
              </w:rPr>
              <w:t xml:space="preserve">, </w:t>
            </w:r>
            <w:r w:rsidR="002932D5">
              <w:rPr>
                <w:rFonts w:asciiTheme="majorHAnsi" w:hAnsiTheme="majorHAnsi"/>
              </w:rPr>
              <w:t xml:space="preserve">briefs, meetings, </w:t>
            </w:r>
            <w:r>
              <w:rPr>
                <w:rFonts w:asciiTheme="majorHAnsi" w:hAnsiTheme="majorHAnsi"/>
              </w:rPr>
              <w:t xml:space="preserve">etc.) </w:t>
            </w:r>
          </w:p>
          <w:p w14:paraId="18B66211" w14:textId="77777777" w:rsidR="00AB34FD" w:rsidRPr="00AB34FD" w:rsidRDefault="00AB34FD" w:rsidP="0035415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498BC1B0" w14:textId="77777777" w:rsidTr="00F87CD9">
        <w:tc>
          <w:tcPr>
            <w:tcW w:w="0" w:type="auto"/>
          </w:tcPr>
          <w:p w14:paraId="6120501C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FAE3749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</w:tr>
      <w:tr w:rsidR="00EA48B4" w:rsidRPr="002F3E17" w14:paraId="1C8F39BB" w14:textId="77777777" w:rsidTr="00F87CD9">
        <w:tc>
          <w:tcPr>
            <w:tcW w:w="0" w:type="auto"/>
          </w:tcPr>
          <w:p w14:paraId="1192526F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5712977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Reflection on Stage 3  (See resource/template) </w:t>
            </w:r>
          </w:p>
          <w:p w14:paraId="51509C76" w14:textId="77777777" w:rsidR="00EA48B4" w:rsidRPr="002F3E17" w:rsidRDefault="00EA48B4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104EA8B9" w14:textId="77777777" w:rsidTr="00F87CD9">
        <w:tc>
          <w:tcPr>
            <w:tcW w:w="0" w:type="auto"/>
          </w:tcPr>
          <w:p w14:paraId="3DA66CC3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4A746AA" w14:textId="77777777" w:rsidR="00EA48B4" w:rsidRPr="002F3E17" w:rsidRDefault="00EA48B4" w:rsidP="009E117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A48B4" w:rsidRPr="002F3E17" w14:paraId="25198846" w14:textId="77777777" w:rsidTr="00F87CD9">
        <w:tc>
          <w:tcPr>
            <w:tcW w:w="0" w:type="auto"/>
          </w:tcPr>
          <w:p w14:paraId="34AB8731" w14:textId="77777777" w:rsidR="00EA48B4" w:rsidRPr="002F3E17" w:rsidRDefault="00EA48B4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36E2F4E" w14:textId="77777777" w:rsidR="00EA48B4" w:rsidRPr="002F3E17" w:rsidRDefault="00EA48B4" w:rsidP="009E117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5F8D9D1A" w14:textId="77777777" w:rsidR="00A93625" w:rsidRPr="002F3E17" w:rsidRDefault="00A93625">
      <w:pPr>
        <w:rPr>
          <w:rFonts w:asciiTheme="majorHAnsi" w:hAnsiTheme="majorHAnsi"/>
        </w:rPr>
      </w:pPr>
    </w:p>
    <w:p w14:paraId="56D0C6B6" w14:textId="77777777" w:rsidR="00F87CD9" w:rsidRPr="002F3E17" w:rsidRDefault="00F87CD9">
      <w:pPr>
        <w:rPr>
          <w:rFonts w:asciiTheme="majorHAnsi" w:hAnsiTheme="majorHAnsi"/>
        </w:rPr>
      </w:pPr>
    </w:p>
    <w:p w14:paraId="22640CE9" w14:textId="77777777" w:rsidR="00CC696E" w:rsidRPr="002F3E17" w:rsidRDefault="002F3E17">
      <w:pPr>
        <w:rPr>
          <w:rFonts w:asciiTheme="majorHAnsi" w:hAnsiTheme="majorHAnsi"/>
        </w:rPr>
      </w:pPr>
      <w:r w:rsidRPr="002F3E17">
        <w:rPr>
          <w:rFonts w:asciiTheme="majorHAnsi" w:hAnsiTheme="majorHAnsi"/>
        </w:rPr>
        <w:t xml:space="preserve">Suggested Stage 3 Data for Inclusion in Master Schedule Notebook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057"/>
        <w:gridCol w:w="7781"/>
      </w:tblGrid>
      <w:tr w:rsidR="00F87CD9" w:rsidRPr="002F3E17" w14:paraId="49F85F6C" w14:textId="77777777" w:rsidTr="00F87CD9">
        <w:tc>
          <w:tcPr>
            <w:tcW w:w="0" w:type="auto"/>
          </w:tcPr>
          <w:p w14:paraId="7350037C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Check if</w:t>
            </w:r>
          </w:p>
          <w:p w14:paraId="5FA298C4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Included </w:t>
            </w:r>
          </w:p>
        </w:tc>
        <w:tc>
          <w:tcPr>
            <w:tcW w:w="7781" w:type="dxa"/>
          </w:tcPr>
          <w:p w14:paraId="7BCB869E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  <w:b/>
              </w:rPr>
              <w:t>Stage 3 Master Schedule Notebook – Recommended Data</w:t>
            </w:r>
          </w:p>
        </w:tc>
      </w:tr>
      <w:tr w:rsidR="00075486" w:rsidRPr="002F3E17" w14:paraId="0C4623BC" w14:textId="77777777" w:rsidTr="00F87CD9">
        <w:tc>
          <w:tcPr>
            <w:tcW w:w="0" w:type="auto"/>
          </w:tcPr>
          <w:p w14:paraId="58718E2C" w14:textId="77777777" w:rsidR="00075486" w:rsidRPr="002F3E17" w:rsidRDefault="0007548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176802F5" w14:textId="77777777" w:rsidR="00075486" w:rsidRPr="002F3E17" w:rsidRDefault="00075486" w:rsidP="00F87CD9">
            <w:pPr>
              <w:rPr>
                <w:rFonts w:asciiTheme="majorHAnsi" w:hAnsiTheme="majorHAnsi"/>
              </w:rPr>
            </w:pPr>
          </w:p>
        </w:tc>
      </w:tr>
      <w:tr w:rsidR="00F87CD9" w:rsidRPr="002F3E17" w14:paraId="70E00A4B" w14:textId="77777777" w:rsidTr="00F87CD9">
        <w:tc>
          <w:tcPr>
            <w:tcW w:w="0" w:type="auto"/>
          </w:tcPr>
          <w:p w14:paraId="79D595A5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11DADD8B" w14:textId="77777777" w:rsidR="00CC696E" w:rsidRPr="002F3E17" w:rsidRDefault="00075486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Singleton</w:t>
            </w:r>
            <w:r w:rsidR="00EF74AC" w:rsidRPr="002F3E17">
              <w:rPr>
                <w:rFonts w:asciiTheme="majorHAnsi" w:hAnsiTheme="majorHAnsi"/>
              </w:rPr>
              <w:t>/Doubleton</w:t>
            </w:r>
            <w:r w:rsidRPr="002F3E17">
              <w:rPr>
                <w:rFonts w:asciiTheme="majorHAnsi" w:hAnsiTheme="majorHAnsi"/>
              </w:rPr>
              <w:t xml:space="preserve"> </w:t>
            </w:r>
            <w:r w:rsidR="00F87CD9" w:rsidRPr="002F3E17">
              <w:rPr>
                <w:rFonts w:asciiTheme="majorHAnsi" w:hAnsiTheme="majorHAnsi"/>
              </w:rPr>
              <w:t xml:space="preserve">Courses with the greatest number of conflicts in the course conflict matrix </w:t>
            </w:r>
          </w:p>
          <w:p w14:paraId="1471E80D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87CD9" w:rsidRPr="002F3E17" w14:paraId="2BBE309A" w14:textId="77777777" w:rsidTr="00F87CD9">
        <w:tc>
          <w:tcPr>
            <w:tcW w:w="0" w:type="auto"/>
          </w:tcPr>
          <w:p w14:paraId="5DF7DBB3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08B456FE" w14:textId="77777777" w:rsidR="00F87CD9" w:rsidRPr="002F3E17" w:rsidRDefault="009D49B3" w:rsidP="00EF74AC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Most recent copies scheduler reports for reference in next year’s process</w:t>
            </w:r>
          </w:p>
          <w:p w14:paraId="097A1682" w14:textId="77777777" w:rsidR="00E6441D" w:rsidRPr="002F3E17" w:rsidRDefault="00E6441D" w:rsidP="00EF74A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:rsidRPr="002F3E17" w14:paraId="03BEF8D8" w14:textId="77777777" w:rsidTr="00F87CD9">
        <w:tc>
          <w:tcPr>
            <w:tcW w:w="0" w:type="auto"/>
          </w:tcPr>
          <w:p w14:paraId="3A5B4057" w14:textId="77777777" w:rsidR="00CC696E" w:rsidRPr="002F3E17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59C00C84" w14:textId="77777777" w:rsidR="00CC696E" w:rsidRPr="002F3E17" w:rsidRDefault="00EF74AC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 xml:space="preserve">Record of Simulation Run (SIM Run) Percent Scheduled Results </w:t>
            </w:r>
          </w:p>
          <w:p w14:paraId="37AD05A9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:rsidRPr="002F3E17" w14:paraId="2FCF6F1E" w14:textId="77777777" w:rsidTr="00F87CD9">
        <w:tc>
          <w:tcPr>
            <w:tcW w:w="0" w:type="auto"/>
          </w:tcPr>
          <w:p w14:paraId="505D1EC8" w14:textId="77777777" w:rsidR="00CC696E" w:rsidRPr="002F3E17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1F72ADDC" w14:textId="77777777" w:rsidR="00CC696E" w:rsidRPr="002F3E17" w:rsidRDefault="00EF74AC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SIM Run Percent Scheduled Goal</w:t>
            </w:r>
          </w:p>
          <w:p w14:paraId="0D84842D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:rsidRPr="002F3E17" w14:paraId="3C66A6B7" w14:textId="77777777" w:rsidTr="00F87CD9">
        <w:tc>
          <w:tcPr>
            <w:tcW w:w="0" w:type="auto"/>
          </w:tcPr>
          <w:p w14:paraId="43E6914A" w14:textId="77777777" w:rsidR="00CC696E" w:rsidRPr="002F3E17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7F6090FB" w14:textId="77777777" w:rsidR="00CC696E" w:rsidRPr="002F3E17" w:rsidRDefault="00EF74AC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Number of students scheduled by hand after SIM Run</w:t>
            </w:r>
          </w:p>
          <w:p w14:paraId="36A6E9DD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:rsidRPr="002F3E17" w14:paraId="3DBE250F" w14:textId="77777777" w:rsidTr="00F87CD9">
        <w:tc>
          <w:tcPr>
            <w:tcW w:w="0" w:type="auto"/>
          </w:tcPr>
          <w:p w14:paraId="491695BE" w14:textId="77777777" w:rsidR="00CC696E" w:rsidRPr="002F3E17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027B7D02" w14:textId="77777777" w:rsidR="00CC696E" w:rsidRPr="002F3E17" w:rsidRDefault="006E14CF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cohort purity degree of success</w:t>
            </w:r>
          </w:p>
          <w:p w14:paraId="5677672E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:rsidRPr="002F3E17" w14:paraId="223DA9EC" w14:textId="77777777" w:rsidTr="00F87CD9">
        <w:tc>
          <w:tcPr>
            <w:tcW w:w="0" w:type="auto"/>
          </w:tcPr>
          <w:p w14:paraId="42A076A8" w14:textId="77777777" w:rsidR="00CC696E" w:rsidRPr="002F3E17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20F4EC71" w14:textId="77777777" w:rsidR="00CC696E" w:rsidRPr="002F3E17" w:rsidRDefault="006E14CF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Description of common planning time degree of success</w:t>
            </w:r>
          </w:p>
          <w:p w14:paraId="6F1F639E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:rsidRPr="002F3E17" w14:paraId="0F560208" w14:textId="77777777" w:rsidTr="00F87CD9">
        <w:tc>
          <w:tcPr>
            <w:tcW w:w="0" w:type="auto"/>
          </w:tcPr>
          <w:p w14:paraId="32AC9096" w14:textId="77777777" w:rsidR="00CC696E" w:rsidRPr="002F3E17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213399C5" w14:textId="77777777" w:rsidR="00CC696E" w:rsidRPr="002F3E17" w:rsidRDefault="00385416" w:rsidP="00F87CD9">
            <w:pPr>
              <w:rPr>
                <w:rFonts w:asciiTheme="majorHAnsi" w:hAnsiTheme="majorHAnsi"/>
              </w:rPr>
            </w:pPr>
            <w:r w:rsidRPr="002F3E17">
              <w:rPr>
                <w:rFonts w:asciiTheme="majorHAnsi" w:hAnsiTheme="majorHAnsi"/>
              </w:rPr>
              <w:t>Record of student counts by grade: predicted, actual, end of each grading period actual</w:t>
            </w:r>
          </w:p>
          <w:p w14:paraId="539ED4C9" w14:textId="77777777" w:rsidR="00E6441D" w:rsidRPr="002F3E17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87CD9" w:rsidRPr="002F3E17" w14:paraId="6D4CAA09" w14:textId="77777777" w:rsidTr="00F87CD9">
        <w:tc>
          <w:tcPr>
            <w:tcW w:w="0" w:type="auto"/>
          </w:tcPr>
          <w:p w14:paraId="7198ACAB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09250C11" w14:textId="77777777" w:rsidR="00F87CD9" w:rsidRPr="002F3E17" w:rsidRDefault="00F87CD9" w:rsidP="00F87CD9">
            <w:pPr>
              <w:rPr>
                <w:rFonts w:asciiTheme="majorHAnsi" w:hAnsiTheme="majorHAnsi"/>
              </w:rPr>
            </w:pPr>
          </w:p>
        </w:tc>
      </w:tr>
    </w:tbl>
    <w:p w14:paraId="31240E83" w14:textId="77777777" w:rsidR="00F87CD9" w:rsidRPr="002F3E17" w:rsidRDefault="00F87CD9">
      <w:pPr>
        <w:rPr>
          <w:rFonts w:asciiTheme="majorHAnsi" w:hAnsiTheme="majorHAnsi"/>
        </w:rPr>
      </w:pPr>
    </w:p>
    <w:sectPr w:rsidR="00F87CD9" w:rsidRPr="002F3E17" w:rsidSect="00A9362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0865" w14:textId="77777777" w:rsidR="009D540B" w:rsidRDefault="009D540B" w:rsidP="009D540B">
      <w:r>
        <w:separator/>
      </w:r>
    </w:p>
  </w:endnote>
  <w:endnote w:type="continuationSeparator" w:id="0">
    <w:p w14:paraId="5F6B0C22" w14:textId="77777777" w:rsidR="009D540B" w:rsidRDefault="009D540B" w:rsidP="009D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E705" w14:textId="77777777" w:rsidR="009D540B" w:rsidRDefault="009D540B" w:rsidP="001733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CBC7D" w14:textId="77777777" w:rsidR="009D540B" w:rsidRDefault="009D540B" w:rsidP="009D54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C176" w14:textId="77777777" w:rsidR="009D540B" w:rsidRDefault="009D540B" w:rsidP="001733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1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E81B5" w14:textId="77777777" w:rsidR="009D540B" w:rsidRDefault="009D540B" w:rsidP="009D54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742B" w14:textId="77777777" w:rsidR="009D540B" w:rsidRDefault="009D540B" w:rsidP="009D540B">
      <w:r>
        <w:separator/>
      </w:r>
    </w:p>
  </w:footnote>
  <w:footnote w:type="continuationSeparator" w:id="0">
    <w:p w14:paraId="66D05817" w14:textId="77777777" w:rsidR="009D540B" w:rsidRDefault="009D540B" w:rsidP="009D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9"/>
    <w:rsid w:val="000436D7"/>
    <w:rsid w:val="00075486"/>
    <w:rsid w:val="000B1E21"/>
    <w:rsid w:val="0023517D"/>
    <w:rsid w:val="002932D5"/>
    <w:rsid w:val="002F3E17"/>
    <w:rsid w:val="0035415A"/>
    <w:rsid w:val="00385416"/>
    <w:rsid w:val="003F553F"/>
    <w:rsid w:val="00403476"/>
    <w:rsid w:val="004805FD"/>
    <w:rsid w:val="006045B6"/>
    <w:rsid w:val="0068147C"/>
    <w:rsid w:val="006E14CF"/>
    <w:rsid w:val="007476D2"/>
    <w:rsid w:val="00864723"/>
    <w:rsid w:val="009D49B3"/>
    <w:rsid w:val="009D540B"/>
    <w:rsid w:val="009E1174"/>
    <w:rsid w:val="00A93625"/>
    <w:rsid w:val="00AB34FD"/>
    <w:rsid w:val="00AC0803"/>
    <w:rsid w:val="00BF1885"/>
    <w:rsid w:val="00C7409C"/>
    <w:rsid w:val="00CC696E"/>
    <w:rsid w:val="00D14ED2"/>
    <w:rsid w:val="00D61A11"/>
    <w:rsid w:val="00E6441D"/>
    <w:rsid w:val="00EA48B4"/>
    <w:rsid w:val="00EF74AC"/>
    <w:rsid w:val="00F87CD9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D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5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0B"/>
  </w:style>
  <w:style w:type="character" w:styleId="PageNumber">
    <w:name w:val="page number"/>
    <w:basedOn w:val="DefaultParagraphFont"/>
    <w:uiPriority w:val="99"/>
    <w:semiHidden/>
    <w:unhideWhenUsed/>
    <w:rsid w:val="009D54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5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0B"/>
  </w:style>
  <w:style w:type="character" w:styleId="PageNumber">
    <w:name w:val="page number"/>
    <w:basedOn w:val="DefaultParagraphFont"/>
    <w:uiPriority w:val="99"/>
    <w:semiHidden/>
    <w:unhideWhenUsed/>
    <w:rsid w:val="009D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Clark</dc:creator>
  <cp:lastModifiedBy>Patricia Clark</cp:lastModifiedBy>
  <cp:revision>2</cp:revision>
  <dcterms:created xsi:type="dcterms:W3CDTF">2014-05-09T14:04:00Z</dcterms:created>
  <dcterms:modified xsi:type="dcterms:W3CDTF">2014-05-09T14:04:00Z</dcterms:modified>
</cp:coreProperties>
</file>