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B259" w14:textId="77777777" w:rsidR="00A93625" w:rsidRPr="009F12CD" w:rsidRDefault="00E56832">
      <w:pPr>
        <w:rPr>
          <w:rFonts w:asciiTheme="majorHAnsi" w:hAnsiTheme="majorHAnsi"/>
          <w:i/>
        </w:rPr>
      </w:pPr>
      <w:r w:rsidRPr="009F12CD">
        <w:rPr>
          <w:rFonts w:asciiTheme="majorHAnsi" w:hAnsiTheme="majorHAnsi"/>
          <w:i/>
        </w:rPr>
        <w:t>PLANNING THE MASTER SCHEDULE</w:t>
      </w:r>
    </w:p>
    <w:p w14:paraId="074BD59B" w14:textId="77777777" w:rsidR="00E56832" w:rsidRPr="007A26CC" w:rsidRDefault="00E56832">
      <w:pPr>
        <w:rPr>
          <w:rFonts w:asciiTheme="majorHAnsi" w:hAnsiTheme="majorHAnsi"/>
        </w:rPr>
      </w:pPr>
    </w:p>
    <w:p w14:paraId="034E438D" w14:textId="74848D08" w:rsidR="00E56832" w:rsidRPr="009F12CD" w:rsidRDefault="00E56832" w:rsidP="009F12CD">
      <w:pPr>
        <w:ind w:left="2160" w:firstLine="720"/>
        <w:rPr>
          <w:rFonts w:asciiTheme="majorHAnsi" w:hAnsiTheme="majorHAnsi"/>
          <w:b/>
          <w:sz w:val="32"/>
          <w:szCs w:val="32"/>
        </w:rPr>
      </w:pPr>
      <w:r w:rsidRPr="009F12CD">
        <w:rPr>
          <w:rFonts w:asciiTheme="majorHAnsi" w:hAnsiTheme="majorHAnsi"/>
          <w:b/>
          <w:sz w:val="32"/>
          <w:szCs w:val="32"/>
        </w:rPr>
        <w:t>OPPORTUN</w:t>
      </w:r>
      <w:r w:rsidR="002C6180">
        <w:rPr>
          <w:rFonts w:asciiTheme="majorHAnsi" w:hAnsiTheme="majorHAnsi"/>
          <w:b/>
          <w:sz w:val="32"/>
          <w:szCs w:val="32"/>
        </w:rPr>
        <w:t>I</w:t>
      </w:r>
      <w:r w:rsidRPr="009F12CD">
        <w:rPr>
          <w:rFonts w:asciiTheme="majorHAnsi" w:hAnsiTheme="majorHAnsi"/>
          <w:b/>
          <w:sz w:val="32"/>
          <w:szCs w:val="32"/>
        </w:rPr>
        <w:t>TIES CHECKLIST</w:t>
      </w:r>
    </w:p>
    <w:p w14:paraId="6C821A16" w14:textId="77777777" w:rsidR="00E56832" w:rsidRPr="007A26CC" w:rsidRDefault="00E56832">
      <w:pPr>
        <w:rPr>
          <w:rFonts w:asciiTheme="majorHAnsi" w:hAnsiTheme="majorHAnsi"/>
        </w:rPr>
      </w:pPr>
    </w:p>
    <w:p w14:paraId="562FC218" w14:textId="77777777" w:rsidR="00E56832" w:rsidRPr="007A26CC" w:rsidRDefault="00E56832">
      <w:pPr>
        <w:rPr>
          <w:rFonts w:asciiTheme="majorHAnsi" w:hAnsiTheme="majorHAnsi"/>
        </w:rPr>
      </w:pPr>
    </w:p>
    <w:p w14:paraId="0135E61E" w14:textId="77777777" w:rsidR="00E56832" w:rsidRPr="007A26CC" w:rsidRDefault="00E56832">
      <w:pPr>
        <w:rPr>
          <w:rFonts w:asciiTheme="majorHAnsi" w:hAnsiTheme="majorHAnsi"/>
        </w:rPr>
      </w:pPr>
      <w:r w:rsidRPr="007A26CC">
        <w:rPr>
          <w:rFonts w:asciiTheme="majorHAnsi" w:hAnsiTheme="majorHAnsi"/>
        </w:rPr>
        <w:t>During the planning process, the master schedule team needs to consider any existing, new, or emerging opportunities and/or constraints that impact the development, implementation, and ongoing improvement of the Master Schedule.</w:t>
      </w:r>
    </w:p>
    <w:p w14:paraId="0BC9C6BF" w14:textId="77777777" w:rsidR="00E56832" w:rsidRPr="007A26CC" w:rsidRDefault="00E56832">
      <w:pPr>
        <w:rPr>
          <w:rFonts w:asciiTheme="majorHAnsi" w:hAnsiTheme="majorHAnsi"/>
        </w:rPr>
      </w:pPr>
    </w:p>
    <w:p w14:paraId="56DA498E" w14:textId="5923E080" w:rsidR="00E56832" w:rsidRPr="007A26CC" w:rsidRDefault="00E56832">
      <w:pPr>
        <w:rPr>
          <w:rFonts w:asciiTheme="majorHAnsi" w:hAnsiTheme="majorHAnsi"/>
        </w:rPr>
      </w:pPr>
      <w:r w:rsidRPr="007A26CC">
        <w:rPr>
          <w:rFonts w:asciiTheme="majorHAnsi" w:hAnsiTheme="majorHAnsi"/>
        </w:rPr>
        <w:t xml:space="preserve">NOTE: So much depends on the local context. </w:t>
      </w:r>
      <w:r w:rsidR="000A21B6">
        <w:rPr>
          <w:rFonts w:asciiTheme="majorHAnsi" w:hAnsiTheme="majorHAnsi"/>
        </w:rPr>
        <w:t>What some schools perceive of as a master schedule</w:t>
      </w:r>
      <w:r w:rsidRPr="007A26CC">
        <w:rPr>
          <w:rFonts w:asciiTheme="majorHAnsi" w:hAnsiTheme="majorHAnsi"/>
        </w:rPr>
        <w:t xml:space="preserve"> opportunity may </w:t>
      </w:r>
      <w:r w:rsidR="000A21B6">
        <w:rPr>
          <w:rFonts w:asciiTheme="majorHAnsi" w:hAnsiTheme="majorHAnsi"/>
        </w:rPr>
        <w:t xml:space="preserve">be </w:t>
      </w:r>
      <w:r w:rsidRPr="007A26CC">
        <w:rPr>
          <w:rFonts w:asciiTheme="majorHAnsi" w:hAnsiTheme="majorHAnsi"/>
        </w:rPr>
        <w:t xml:space="preserve">instead </w:t>
      </w:r>
      <w:r w:rsidR="000A21B6">
        <w:rPr>
          <w:rFonts w:asciiTheme="majorHAnsi" w:hAnsiTheme="majorHAnsi"/>
        </w:rPr>
        <w:t xml:space="preserve">seen </w:t>
      </w:r>
      <w:r w:rsidRPr="007A26CC">
        <w:rPr>
          <w:rFonts w:asciiTheme="majorHAnsi" w:hAnsiTheme="majorHAnsi"/>
        </w:rPr>
        <w:t xml:space="preserve">as a </w:t>
      </w:r>
      <w:r w:rsidR="000A21B6">
        <w:rPr>
          <w:rFonts w:asciiTheme="majorHAnsi" w:hAnsiTheme="majorHAnsi"/>
        </w:rPr>
        <w:t>master schedule constraint by other schools</w:t>
      </w:r>
      <w:r w:rsidRPr="007A26CC">
        <w:rPr>
          <w:rFonts w:asciiTheme="majorHAnsi" w:hAnsiTheme="majorHAnsi"/>
        </w:rPr>
        <w:t xml:space="preserve">. For </w:t>
      </w:r>
      <w:r w:rsidR="000A21B6">
        <w:rPr>
          <w:rFonts w:asciiTheme="majorHAnsi" w:hAnsiTheme="majorHAnsi"/>
        </w:rPr>
        <w:t xml:space="preserve">example, if the State provides </w:t>
      </w:r>
      <w:r w:rsidRPr="007A26CC">
        <w:rPr>
          <w:rFonts w:asciiTheme="majorHAnsi" w:hAnsiTheme="majorHAnsi"/>
        </w:rPr>
        <w:t>additional funding to reduce class sizes in 9</w:t>
      </w:r>
      <w:r w:rsidRPr="007A26CC">
        <w:rPr>
          <w:rFonts w:asciiTheme="majorHAnsi" w:hAnsiTheme="majorHAnsi"/>
          <w:vertAlign w:val="superscript"/>
        </w:rPr>
        <w:t>th</w:t>
      </w:r>
      <w:r w:rsidRPr="007A26CC">
        <w:rPr>
          <w:rFonts w:asciiTheme="majorHAnsi" w:hAnsiTheme="majorHAnsi"/>
        </w:rPr>
        <w:t xml:space="preserve"> grade English and Math, this is primarily viewed as an opportunity. However, if your school already is overcrowded, is already short on math teachers, and your 9</w:t>
      </w:r>
      <w:r w:rsidRPr="007A26CC">
        <w:rPr>
          <w:rFonts w:asciiTheme="majorHAnsi" w:hAnsiTheme="majorHAnsi"/>
          <w:vertAlign w:val="superscript"/>
        </w:rPr>
        <w:t>th</w:t>
      </w:r>
      <w:r w:rsidRPr="007A26CC">
        <w:rPr>
          <w:rFonts w:asciiTheme="majorHAnsi" w:hAnsiTheme="majorHAnsi"/>
        </w:rPr>
        <w:t xml:space="preserve"> grade Small Learning Communities (SLCs) or 9</w:t>
      </w:r>
      <w:r w:rsidRPr="007A26CC">
        <w:rPr>
          <w:rFonts w:asciiTheme="majorHAnsi" w:hAnsiTheme="majorHAnsi"/>
          <w:vertAlign w:val="superscript"/>
        </w:rPr>
        <w:t>th</w:t>
      </w:r>
      <w:r w:rsidRPr="007A26CC">
        <w:rPr>
          <w:rFonts w:asciiTheme="majorHAnsi" w:hAnsiTheme="majorHAnsi"/>
        </w:rPr>
        <w:t xml:space="preserve"> grade pathways involve interdisciplinary teaching teams in four subjects, your site might view this “opportunity” as a scheduling constraint (or at least as a mix of both opportunity and constraint.</w:t>
      </w:r>
      <w:r w:rsidR="000A21B6">
        <w:rPr>
          <w:rFonts w:asciiTheme="majorHAnsi" w:hAnsiTheme="majorHAnsi"/>
        </w:rPr>
        <w:t>)</w:t>
      </w:r>
      <w:r w:rsidRPr="007A26CC">
        <w:rPr>
          <w:rFonts w:asciiTheme="majorHAnsi" w:hAnsiTheme="majorHAnsi"/>
        </w:rPr>
        <w:t xml:space="preserve"> </w:t>
      </w:r>
    </w:p>
    <w:p w14:paraId="5898DAD2" w14:textId="77777777" w:rsidR="00E56832" w:rsidRPr="007A26CC" w:rsidRDefault="00E56832">
      <w:pPr>
        <w:rPr>
          <w:rFonts w:asciiTheme="majorHAnsi" w:hAnsiTheme="majorHAnsi"/>
        </w:rPr>
      </w:pPr>
    </w:p>
    <w:p w14:paraId="52B0C9AC" w14:textId="77777777" w:rsidR="000A21B6" w:rsidRDefault="00E56832">
      <w:pPr>
        <w:rPr>
          <w:rFonts w:asciiTheme="majorHAnsi" w:hAnsiTheme="majorHAnsi"/>
        </w:rPr>
      </w:pPr>
      <w:r w:rsidRPr="007A26CC">
        <w:rPr>
          <w:rFonts w:asciiTheme="majorHAnsi" w:hAnsiTheme="majorHAnsi"/>
        </w:rPr>
        <w:t xml:space="preserve">What follows are some of the more common </w:t>
      </w:r>
      <w:r w:rsidR="000A21B6">
        <w:rPr>
          <w:rFonts w:asciiTheme="majorHAnsi" w:hAnsiTheme="majorHAnsi"/>
        </w:rPr>
        <w:t xml:space="preserve">master schedule </w:t>
      </w:r>
      <w:r w:rsidRPr="007A26CC">
        <w:rPr>
          <w:rFonts w:asciiTheme="majorHAnsi" w:hAnsiTheme="majorHAnsi"/>
        </w:rPr>
        <w:t>opportunities.</w:t>
      </w:r>
    </w:p>
    <w:p w14:paraId="7B0F8DB7" w14:textId="465311C9" w:rsidR="00E56832" w:rsidRPr="007A26CC" w:rsidRDefault="000A21B6">
      <w:pPr>
        <w:rPr>
          <w:rFonts w:asciiTheme="majorHAnsi" w:hAnsiTheme="majorHAnsi"/>
        </w:rPr>
      </w:pPr>
      <w:r>
        <w:rPr>
          <w:rFonts w:asciiTheme="majorHAnsi" w:hAnsiTheme="majorHAnsi"/>
        </w:rPr>
        <w:t>NOTE:</w:t>
      </w:r>
      <w:r w:rsidR="00E56832" w:rsidRPr="007A26CC">
        <w:rPr>
          <w:rFonts w:asciiTheme="majorHAnsi" w:hAnsiTheme="majorHAnsi"/>
        </w:rPr>
        <w:t xml:space="preserve"> This is only a partial list. Please feel free to add other opportunities </w:t>
      </w:r>
      <w:r>
        <w:rPr>
          <w:rFonts w:asciiTheme="majorHAnsi" w:hAnsiTheme="majorHAnsi"/>
        </w:rPr>
        <w:t xml:space="preserve">and creative solutions </w:t>
      </w:r>
      <w:r w:rsidR="00E56832" w:rsidRPr="007A26CC">
        <w:rPr>
          <w:rFonts w:asciiTheme="majorHAnsi" w:hAnsiTheme="majorHAnsi"/>
        </w:rPr>
        <w:t xml:space="preserve">specific to your pathway/site/ district/community. </w:t>
      </w:r>
    </w:p>
    <w:p w14:paraId="1EBCA71C" w14:textId="77777777" w:rsidR="00E56832" w:rsidRPr="007A26CC" w:rsidRDefault="00E56832">
      <w:pPr>
        <w:rPr>
          <w:rFonts w:asciiTheme="majorHAnsi" w:hAnsiTheme="majorHAnsi"/>
        </w:rPr>
      </w:pPr>
    </w:p>
    <w:p w14:paraId="466399F0" w14:textId="77777777" w:rsidR="00E56832" w:rsidRPr="007A26CC" w:rsidRDefault="00E56832">
      <w:pPr>
        <w:rPr>
          <w:rFonts w:asciiTheme="majorHAnsi" w:hAnsiTheme="majorHAnsi"/>
        </w:rPr>
      </w:pPr>
    </w:p>
    <w:tbl>
      <w:tblPr>
        <w:tblStyle w:val="TableGrid"/>
        <w:tblW w:w="5000" w:type="pct"/>
        <w:tblLook w:val="04A0" w:firstRow="1" w:lastRow="0" w:firstColumn="1" w:lastColumn="0" w:noHBand="0" w:noVBand="1"/>
      </w:tblPr>
      <w:tblGrid>
        <w:gridCol w:w="6588"/>
        <w:gridCol w:w="2988"/>
      </w:tblGrid>
      <w:tr w:rsidR="00C20468" w:rsidRPr="007A26CC" w14:paraId="547B61D9" w14:textId="77777777" w:rsidTr="00C20468">
        <w:tc>
          <w:tcPr>
            <w:tcW w:w="3440" w:type="pct"/>
          </w:tcPr>
          <w:p w14:paraId="761571F0" w14:textId="77777777" w:rsidR="00E56832" w:rsidRPr="00B44853" w:rsidRDefault="00E56832">
            <w:pPr>
              <w:rPr>
                <w:rFonts w:asciiTheme="majorHAnsi" w:hAnsiTheme="majorHAnsi"/>
                <w:b/>
                <w:sz w:val="28"/>
                <w:szCs w:val="28"/>
              </w:rPr>
            </w:pPr>
            <w:r w:rsidRPr="00B44853">
              <w:rPr>
                <w:rFonts w:asciiTheme="majorHAnsi" w:hAnsiTheme="majorHAnsi"/>
                <w:b/>
                <w:sz w:val="28"/>
                <w:szCs w:val="28"/>
              </w:rPr>
              <w:t xml:space="preserve">Opportunities </w:t>
            </w:r>
          </w:p>
          <w:p w14:paraId="2FC0F7A7" w14:textId="77777777" w:rsidR="00E56832" w:rsidRPr="00B44853" w:rsidRDefault="00E56832">
            <w:pPr>
              <w:rPr>
                <w:rFonts w:asciiTheme="majorHAnsi" w:hAnsiTheme="majorHAnsi"/>
                <w:b/>
                <w:sz w:val="28"/>
                <w:szCs w:val="28"/>
              </w:rPr>
            </w:pPr>
          </w:p>
        </w:tc>
        <w:tc>
          <w:tcPr>
            <w:tcW w:w="1560" w:type="pct"/>
          </w:tcPr>
          <w:p w14:paraId="40C19D15" w14:textId="77777777" w:rsidR="00C20468" w:rsidRDefault="00E56832">
            <w:pPr>
              <w:rPr>
                <w:rFonts w:asciiTheme="majorHAnsi" w:hAnsiTheme="majorHAnsi"/>
                <w:b/>
                <w:sz w:val="28"/>
                <w:szCs w:val="28"/>
              </w:rPr>
            </w:pPr>
            <w:r w:rsidRPr="00B44853">
              <w:rPr>
                <w:rFonts w:asciiTheme="majorHAnsi" w:hAnsiTheme="majorHAnsi"/>
                <w:b/>
                <w:sz w:val="28"/>
                <w:szCs w:val="28"/>
              </w:rPr>
              <w:t xml:space="preserve">Check (if applicable); </w:t>
            </w:r>
          </w:p>
          <w:p w14:paraId="18E99810" w14:textId="5EB403AC" w:rsidR="00E56832" w:rsidRPr="00B44853" w:rsidRDefault="00E56832">
            <w:pPr>
              <w:rPr>
                <w:rFonts w:asciiTheme="majorHAnsi" w:hAnsiTheme="majorHAnsi"/>
                <w:b/>
                <w:sz w:val="28"/>
                <w:szCs w:val="28"/>
              </w:rPr>
            </w:pPr>
            <w:r w:rsidRPr="00B44853">
              <w:rPr>
                <w:rFonts w:asciiTheme="majorHAnsi" w:hAnsiTheme="majorHAnsi"/>
                <w:b/>
                <w:sz w:val="28"/>
                <w:szCs w:val="28"/>
              </w:rPr>
              <w:t xml:space="preserve">Space for Notes </w:t>
            </w:r>
          </w:p>
        </w:tc>
      </w:tr>
      <w:tr w:rsidR="00C20468" w:rsidRPr="007A26CC" w14:paraId="2DD05EAA" w14:textId="77777777" w:rsidTr="00C20468">
        <w:tc>
          <w:tcPr>
            <w:tcW w:w="3440" w:type="pct"/>
          </w:tcPr>
          <w:p w14:paraId="1C6598FA" w14:textId="77777777" w:rsidR="00E56832" w:rsidRPr="007A26CC" w:rsidRDefault="00E56832">
            <w:pPr>
              <w:rPr>
                <w:rFonts w:asciiTheme="majorHAnsi" w:hAnsiTheme="majorHAnsi"/>
              </w:rPr>
            </w:pPr>
            <w:r w:rsidRPr="00C20468">
              <w:rPr>
                <w:rFonts w:asciiTheme="majorHAnsi" w:hAnsiTheme="majorHAnsi"/>
                <w:b/>
                <w:sz w:val="26"/>
                <w:szCs w:val="26"/>
              </w:rPr>
              <w:t>Increase in Teacher FTE</w:t>
            </w:r>
            <w:r w:rsidRPr="007A26CC">
              <w:rPr>
                <w:rFonts w:asciiTheme="majorHAnsi" w:hAnsiTheme="majorHAnsi"/>
              </w:rPr>
              <w:t xml:space="preserve"> </w:t>
            </w:r>
            <w:r w:rsidRPr="00C20468">
              <w:rPr>
                <w:rFonts w:asciiTheme="majorHAnsi" w:hAnsiTheme="majorHAnsi"/>
                <w:b/>
                <w:sz w:val="26"/>
                <w:szCs w:val="26"/>
              </w:rPr>
              <w:t>(full time equivalent) Allotment from District</w:t>
            </w:r>
            <w:r w:rsidRPr="007A26CC">
              <w:rPr>
                <w:rFonts w:asciiTheme="majorHAnsi" w:hAnsiTheme="majorHAnsi"/>
              </w:rPr>
              <w:t xml:space="preserve"> (Some Districts may provide an increased FTE allotment to support some flexibility in scheduling multiple SLCs) </w:t>
            </w:r>
          </w:p>
          <w:p w14:paraId="00AA6BD1" w14:textId="77777777" w:rsidR="00E56832" w:rsidRPr="007A26CC" w:rsidRDefault="00E56832">
            <w:pPr>
              <w:rPr>
                <w:rFonts w:asciiTheme="majorHAnsi" w:hAnsiTheme="majorHAnsi"/>
              </w:rPr>
            </w:pPr>
          </w:p>
        </w:tc>
        <w:tc>
          <w:tcPr>
            <w:tcW w:w="1560" w:type="pct"/>
          </w:tcPr>
          <w:p w14:paraId="24F6DEDC" w14:textId="77777777" w:rsidR="00E56832" w:rsidRPr="007A26CC" w:rsidRDefault="00E56832">
            <w:pPr>
              <w:rPr>
                <w:rFonts w:asciiTheme="majorHAnsi" w:hAnsiTheme="majorHAnsi"/>
              </w:rPr>
            </w:pPr>
          </w:p>
        </w:tc>
      </w:tr>
      <w:tr w:rsidR="00C20468" w:rsidRPr="007A26CC" w14:paraId="175DCC69" w14:textId="77777777" w:rsidTr="00C20468">
        <w:tc>
          <w:tcPr>
            <w:tcW w:w="3440" w:type="pct"/>
          </w:tcPr>
          <w:p w14:paraId="2DCC5C57" w14:textId="67072928" w:rsidR="00E56832" w:rsidRPr="007A26CC" w:rsidRDefault="00E56832">
            <w:pPr>
              <w:rPr>
                <w:rFonts w:asciiTheme="majorHAnsi" w:hAnsiTheme="majorHAnsi"/>
              </w:rPr>
            </w:pPr>
            <w:r w:rsidRPr="00B44853">
              <w:rPr>
                <w:rFonts w:asciiTheme="majorHAnsi" w:hAnsiTheme="majorHAnsi"/>
                <w:b/>
                <w:sz w:val="26"/>
                <w:szCs w:val="26"/>
              </w:rPr>
              <w:t>New Funding</w:t>
            </w:r>
            <w:r w:rsidRPr="007A26CC">
              <w:rPr>
                <w:rFonts w:asciiTheme="majorHAnsi" w:hAnsiTheme="majorHAnsi"/>
              </w:rPr>
              <w:t xml:space="preserve"> (new grant/s from federal government, State government, private foundation/s, parent fundraising, industry sponsorship of an FTE or partial FTE position, and/or </w:t>
            </w:r>
            <w:r w:rsidR="00B44853">
              <w:rPr>
                <w:rFonts w:asciiTheme="majorHAnsi" w:hAnsiTheme="majorHAnsi"/>
              </w:rPr>
              <w:t xml:space="preserve">other </w:t>
            </w:r>
            <w:r w:rsidRPr="007A26CC">
              <w:rPr>
                <w:rFonts w:asciiTheme="majorHAnsi" w:hAnsiTheme="majorHAnsi"/>
              </w:rPr>
              <w:t xml:space="preserve">sources that provide additional full or partial FTEs.  For example, some states provide </w:t>
            </w:r>
            <w:r w:rsidR="00B44853">
              <w:rPr>
                <w:rFonts w:asciiTheme="majorHAnsi" w:hAnsiTheme="majorHAnsi"/>
              </w:rPr>
              <w:t xml:space="preserve">additional </w:t>
            </w:r>
            <w:r w:rsidRPr="007A26CC">
              <w:rPr>
                <w:rFonts w:asciiTheme="majorHAnsi" w:hAnsiTheme="majorHAnsi"/>
              </w:rPr>
              <w:t>funding to reduce 9</w:t>
            </w:r>
            <w:r w:rsidRPr="007A26CC">
              <w:rPr>
                <w:rFonts w:asciiTheme="majorHAnsi" w:hAnsiTheme="majorHAnsi"/>
                <w:vertAlign w:val="superscript"/>
              </w:rPr>
              <w:t>th</w:t>
            </w:r>
            <w:r w:rsidRPr="007A26CC">
              <w:rPr>
                <w:rFonts w:asciiTheme="majorHAnsi" w:hAnsiTheme="majorHAnsi"/>
              </w:rPr>
              <w:t xml:space="preserve"> grade class sizes in English and Math)</w:t>
            </w:r>
          </w:p>
          <w:p w14:paraId="13FF36C2" w14:textId="77777777" w:rsidR="00E56832" w:rsidRPr="007A26CC" w:rsidRDefault="00E56832">
            <w:pPr>
              <w:rPr>
                <w:rFonts w:asciiTheme="majorHAnsi" w:hAnsiTheme="majorHAnsi"/>
              </w:rPr>
            </w:pPr>
          </w:p>
        </w:tc>
        <w:tc>
          <w:tcPr>
            <w:tcW w:w="1560" w:type="pct"/>
          </w:tcPr>
          <w:p w14:paraId="40E474B3" w14:textId="77777777" w:rsidR="00E56832" w:rsidRPr="007A26CC" w:rsidRDefault="00E56832">
            <w:pPr>
              <w:rPr>
                <w:rFonts w:asciiTheme="majorHAnsi" w:hAnsiTheme="majorHAnsi"/>
              </w:rPr>
            </w:pPr>
          </w:p>
        </w:tc>
      </w:tr>
      <w:tr w:rsidR="00C20468" w:rsidRPr="007A26CC" w14:paraId="69C9E6ED" w14:textId="77777777" w:rsidTr="00C20468">
        <w:tc>
          <w:tcPr>
            <w:tcW w:w="3440" w:type="pct"/>
          </w:tcPr>
          <w:p w14:paraId="46E7E4D5" w14:textId="494298D8" w:rsidR="00E56832" w:rsidRDefault="00C20468">
            <w:pPr>
              <w:rPr>
                <w:rFonts w:asciiTheme="majorHAnsi" w:hAnsiTheme="majorHAnsi"/>
              </w:rPr>
            </w:pPr>
            <w:r w:rsidRPr="00C20468">
              <w:rPr>
                <w:rFonts w:asciiTheme="majorHAnsi" w:hAnsiTheme="majorHAnsi"/>
                <w:b/>
              </w:rPr>
              <w:t>Increase in Number of Regional Occupational Program (ROP) courses funded through ROP/Carl Perkins Funds</w:t>
            </w:r>
            <w:r>
              <w:rPr>
                <w:rFonts w:asciiTheme="majorHAnsi" w:hAnsiTheme="majorHAnsi"/>
              </w:rPr>
              <w:t xml:space="preserve">  (Many ROP offerings involve courses for which the all or part of a CTE teacher’s FTE/salary does not count against the high school’s general FTE allocation)</w:t>
            </w:r>
          </w:p>
          <w:p w14:paraId="04779DFB" w14:textId="5D66AC2B" w:rsidR="00C20468" w:rsidRPr="007A26CC" w:rsidRDefault="00C20468">
            <w:pPr>
              <w:rPr>
                <w:rFonts w:asciiTheme="majorHAnsi" w:hAnsiTheme="majorHAnsi"/>
              </w:rPr>
            </w:pPr>
          </w:p>
        </w:tc>
        <w:tc>
          <w:tcPr>
            <w:tcW w:w="1560" w:type="pct"/>
          </w:tcPr>
          <w:p w14:paraId="7BF464BF" w14:textId="77777777" w:rsidR="00E56832" w:rsidRPr="007A26CC" w:rsidRDefault="00E56832">
            <w:pPr>
              <w:rPr>
                <w:rFonts w:asciiTheme="majorHAnsi" w:hAnsiTheme="majorHAnsi"/>
              </w:rPr>
            </w:pPr>
          </w:p>
        </w:tc>
      </w:tr>
      <w:tr w:rsidR="00C20468" w:rsidRPr="007A26CC" w14:paraId="360DD711" w14:textId="77777777" w:rsidTr="00C20468">
        <w:tc>
          <w:tcPr>
            <w:tcW w:w="3440" w:type="pct"/>
          </w:tcPr>
          <w:p w14:paraId="421C49B5" w14:textId="52448C27" w:rsidR="00E56832" w:rsidRDefault="00C20468">
            <w:pPr>
              <w:rPr>
                <w:rFonts w:asciiTheme="majorHAnsi" w:hAnsiTheme="majorHAnsi"/>
              </w:rPr>
            </w:pPr>
            <w:r w:rsidRPr="00C20468">
              <w:rPr>
                <w:rFonts w:asciiTheme="majorHAnsi" w:hAnsiTheme="majorHAnsi"/>
                <w:b/>
              </w:rPr>
              <w:t>Dual Enrollment and/or Middle College Partnerships</w:t>
            </w:r>
            <w:r>
              <w:rPr>
                <w:rFonts w:asciiTheme="majorHAnsi" w:hAnsiTheme="majorHAnsi"/>
              </w:rPr>
              <w:t xml:space="preserve"> which </w:t>
            </w:r>
            <w:r>
              <w:rPr>
                <w:rFonts w:asciiTheme="majorHAnsi" w:hAnsiTheme="majorHAnsi"/>
              </w:rPr>
              <w:lastRenderedPageBreak/>
              <w:t xml:space="preserve">involve high school students being taught by community college or four year college faculty. In some instances, high school teachers, especially those with a master’s degree or Ph.D., may serve as adjunct community college faculty. Typically the cost of the teacher’s salary is covered by the college and does not count against the high school’s FTE allocation.) </w:t>
            </w:r>
          </w:p>
          <w:p w14:paraId="01ACEF8A" w14:textId="56F9A42D" w:rsidR="00C20468" w:rsidRPr="007A26CC" w:rsidRDefault="00C20468">
            <w:pPr>
              <w:rPr>
                <w:rFonts w:asciiTheme="majorHAnsi" w:hAnsiTheme="majorHAnsi"/>
              </w:rPr>
            </w:pPr>
          </w:p>
        </w:tc>
        <w:tc>
          <w:tcPr>
            <w:tcW w:w="1560" w:type="pct"/>
          </w:tcPr>
          <w:p w14:paraId="626E21A6" w14:textId="77777777" w:rsidR="00E56832" w:rsidRPr="007A26CC" w:rsidRDefault="00E56832">
            <w:pPr>
              <w:rPr>
                <w:rFonts w:asciiTheme="majorHAnsi" w:hAnsiTheme="majorHAnsi"/>
              </w:rPr>
            </w:pPr>
          </w:p>
        </w:tc>
      </w:tr>
      <w:tr w:rsidR="00C20468" w:rsidRPr="007A26CC" w14:paraId="06742A24" w14:textId="77777777" w:rsidTr="00C20468">
        <w:tc>
          <w:tcPr>
            <w:tcW w:w="3440" w:type="pct"/>
          </w:tcPr>
          <w:p w14:paraId="2AC1A77C" w14:textId="1A751B6D" w:rsidR="00E56832" w:rsidRDefault="00C20468">
            <w:pPr>
              <w:rPr>
                <w:rFonts w:asciiTheme="majorHAnsi" w:hAnsiTheme="majorHAnsi"/>
              </w:rPr>
            </w:pPr>
            <w:r w:rsidRPr="00A667E6">
              <w:rPr>
                <w:rFonts w:asciiTheme="majorHAnsi" w:hAnsiTheme="majorHAnsi"/>
                <w:b/>
              </w:rPr>
              <w:lastRenderedPageBreak/>
              <w:t>Loaned Instructor from Industry Partnership</w:t>
            </w:r>
            <w:r>
              <w:rPr>
                <w:rFonts w:asciiTheme="majorHAnsi" w:hAnsiTheme="majorHAnsi"/>
              </w:rPr>
              <w:t xml:space="preserve"> (Sometimes industry partners may provide a credentialed instructor on loan from industry for a year or two to teach one class or more in a career-themed Linked Learning pathway or College and Career Academy.  The cost of the </w:t>
            </w:r>
            <w:r w:rsidR="00A667E6">
              <w:rPr>
                <w:rFonts w:asciiTheme="majorHAnsi" w:hAnsiTheme="majorHAnsi"/>
              </w:rPr>
              <w:t xml:space="preserve">loaned </w:t>
            </w:r>
            <w:r>
              <w:rPr>
                <w:rFonts w:asciiTheme="majorHAnsi" w:hAnsiTheme="majorHAnsi"/>
              </w:rPr>
              <w:t xml:space="preserve">instructor is </w:t>
            </w:r>
            <w:r w:rsidR="00A667E6">
              <w:rPr>
                <w:rFonts w:asciiTheme="majorHAnsi" w:hAnsiTheme="majorHAnsi"/>
              </w:rPr>
              <w:t xml:space="preserve">typically </w:t>
            </w:r>
            <w:r>
              <w:rPr>
                <w:rFonts w:asciiTheme="majorHAnsi" w:hAnsiTheme="majorHAnsi"/>
              </w:rPr>
              <w:t>covered by the industry partner.</w:t>
            </w:r>
          </w:p>
          <w:p w14:paraId="4C007806" w14:textId="77777777" w:rsidR="00C20468" w:rsidRPr="007A26CC" w:rsidRDefault="00C20468">
            <w:pPr>
              <w:rPr>
                <w:rFonts w:asciiTheme="majorHAnsi" w:hAnsiTheme="majorHAnsi"/>
              </w:rPr>
            </w:pPr>
          </w:p>
        </w:tc>
        <w:tc>
          <w:tcPr>
            <w:tcW w:w="1560" w:type="pct"/>
          </w:tcPr>
          <w:p w14:paraId="490957A5" w14:textId="77777777" w:rsidR="00E56832" w:rsidRPr="007A26CC" w:rsidRDefault="00E56832">
            <w:pPr>
              <w:rPr>
                <w:rFonts w:asciiTheme="majorHAnsi" w:hAnsiTheme="majorHAnsi"/>
              </w:rPr>
            </w:pPr>
          </w:p>
        </w:tc>
      </w:tr>
      <w:tr w:rsidR="00C20468" w:rsidRPr="007A26CC" w14:paraId="5D5AF8EF" w14:textId="77777777" w:rsidTr="00C20468">
        <w:tc>
          <w:tcPr>
            <w:tcW w:w="3440" w:type="pct"/>
          </w:tcPr>
          <w:p w14:paraId="51C75F83" w14:textId="40471049" w:rsidR="00E56832" w:rsidRDefault="00C4283C">
            <w:pPr>
              <w:rPr>
                <w:rFonts w:asciiTheme="majorHAnsi" w:hAnsiTheme="majorHAnsi"/>
              </w:rPr>
            </w:pPr>
            <w:r w:rsidRPr="00C4283C">
              <w:rPr>
                <w:rFonts w:asciiTheme="majorHAnsi" w:hAnsiTheme="majorHAnsi"/>
                <w:b/>
                <w:sz w:val="26"/>
                <w:szCs w:val="26"/>
              </w:rPr>
              <w:t xml:space="preserve">Industry/Advisory Board - </w:t>
            </w:r>
            <w:r w:rsidR="00A667E6" w:rsidRPr="00C4283C">
              <w:rPr>
                <w:rFonts w:asciiTheme="majorHAnsi" w:hAnsiTheme="majorHAnsi"/>
                <w:b/>
                <w:sz w:val="26"/>
                <w:szCs w:val="26"/>
              </w:rPr>
              <w:t xml:space="preserve">Support for a release period </w:t>
            </w:r>
            <w:r w:rsidR="00A667E6" w:rsidRPr="00C4283C">
              <w:rPr>
                <w:rFonts w:asciiTheme="majorHAnsi" w:hAnsiTheme="majorHAnsi"/>
              </w:rPr>
              <w:t>for a Linked Learning pathway lead or College and Career Academy lead to coordinate the work of the pathway/academy,</w:t>
            </w:r>
            <w:r w:rsidR="00A667E6">
              <w:rPr>
                <w:rFonts w:asciiTheme="majorHAnsi" w:hAnsiTheme="majorHAnsi"/>
              </w:rPr>
              <w:t xml:space="preserve"> including industry partnership work. </w:t>
            </w:r>
          </w:p>
          <w:p w14:paraId="31814859" w14:textId="6F34A5BE" w:rsidR="00A667E6" w:rsidRPr="007A26CC" w:rsidRDefault="00A667E6">
            <w:pPr>
              <w:rPr>
                <w:rFonts w:asciiTheme="majorHAnsi" w:hAnsiTheme="majorHAnsi"/>
              </w:rPr>
            </w:pPr>
          </w:p>
        </w:tc>
        <w:tc>
          <w:tcPr>
            <w:tcW w:w="1560" w:type="pct"/>
          </w:tcPr>
          <w:p w14:paraId="47C14AAF" w14:textId="77777777" w:rsidR="00E56832" w:rsidRPr="007A26CC" w:rsidRDefault="00E56832">
            <w:pPr>
              <w:rPr>
                <w:rFonts w:asciiTheme="majorHAnsi" w:hAnsiTheme="majorHAnsi"/>
              </w:rPr>
            </w:pPr>
          </w:p>
        </w:tc>
      </w:tr>
      <w:tr w:rsidR="00C20468" w:rsidRPr="007A26CC" w14:paraId="120F9034" w14:textId="77777777" w:rsidTr="00C20468">
        <w:tc>
          <w:tcPr>
            <w:tcW w:w="3440" w:type="pct"/>
          </w:tcPr>
          <w:p w14:paraId="14BC5437" w14:textId="17F78A10" w:rsidR="00E56832" w:rsidRDefault="00C4283C">
            <w:pPr>
              <w:rPr>
                <w:rFonts w:asciiTheme="majorHAnsi" w:hAnsiTheme="majorHAnsi"/>
              </w:rPr>
            </w:pPr>
            <w:r w:rsidRPr="007D3C19">
              <w:rPr>
                <w:rFonts w:asciiTheme="majorHAnsi" w:hAnsiTheme="majorHAnsi"/>
                <w:b/>
              </w:rPr>
              <w:t>Teacher Interns</w:t>
            </w:r>
            <w:r>
              <w:rPr>
                <w:rFonts w:asciiTheme="majorHAnsi" w:hAnsiTheme="majorHAnsi"/>
              </w:rPr>
              <w:t xml:space="preserve"> from a University School of Education Partnership and/or Teach for America Interns  (In some teacher internship programs, an intern may teach multiple courses in a single term or year</w:t>
            </w:r>
            <w:r w:rsidR="00B77743">
              <w:rPr>
                <w:rFonts w:asciiTheme="majorHAnsi" w:hAnsiTheme="majorHAnsi"/>
              </w:rPr>
              <w:t xml:space="preserve">.  The cost of the teacher-intern is typically free to the school site or at a much reduced personal cost rate. </w:t>
            </w:r>
          </w:p>
          <w:p w14:paraId="060CCF1B" w14:textId="0AFC8664" w:rsidR="00B77743" w:rsidRPr="007A26CC" w:rsidRDefault="00B77743">
            <w:pPr>
              <w:rPr>
                <w:rFonts w:asciiTheme="majorHAnsi" w:hAnsiTheme="majorHAnsi"/>
              </w:rPr>
            </w:pPr>
          </w:p>
        </w:tc>
        <w:tc>
          <w:tcPr>
            <w:tcW w:w="1560" w:type="pct"/>
          </w:tcPr>
          <w:p w14:paraId="3471EFF6" w14:textId="77777777" w:rsidR="00E56832" w:rsidRPr="007A26CC" w:rsidRDefault="00E56832">
            <w:pPr>
              <w:rPr>
                <w:rFonts w:asciiTheme="majorHAnsi" w:hAnsiTheme="majorHAnsi"/>
              </w:rPr>
            </w:pPr>
          </w:p>
        </w:tc>
      </w:tr>
      <w:tr w:rsidR="00C20468" w:rsidRPr="007A26CC" w14:paraId="41FC66EF" w14:textId="77777777" w:rsidTr="00C20468">
        <w:tc>
          <w:tcPr>
            <w:tcW w:w="3440" w:type="pct"/>
          </w:tcPr>
          <w:p w14:paraId="60668E68" w14:textId="77777777" w:rsidR="00E56832" w:rsidRDefault="00B77743" w:rsidP="00B77743">
            <w:pPr>
              <w:rPr>
                <w:rFonts w:asciiTheme="majorHAnsi" w:hAnsiTheme="majorHAnsi"/>
              </w:rPr>
            </w:pPr>
            <w:r w:rsidRPr="000D5E27">
              <w:rPr>
                <w:rFonts w:asciiTheme="majorHAnsi" w:hAnsiTheme="majorHAnsi"/>
                <w:b/>
              </w:rPr>
              <w:t>On line high school courses</w:t>
            </w:r>
            <w:r>
              <w:rPr>
                <w:rFonts w:asciiTheme="majorHAnsi" w:hAnsiTheme="majorHAnsi"/>
              </w:rPr>
              <w:t xml:space="preserve"> (Increasingly, students may take one or more of their required high school courses on line. In at least one state, students are required to successfully complete at least one of their high school courses on line. In another, a cornucopia  of free virtual high school classes is available to all instate students. Student enrollment in online and distance learning classes can impact staffing needs and/or staffing flexibility.     Students can also use approved online courses </w:t>
            </w:r>
          </w:p>
          <w:p w14:paraId="7A1BDA94" w14:textId="12D57C49" w:rsidR="008E17E2" w:rsidRPr="007A26CC" w:rsidRDefault="008E17E2" w:rsidP="00B77743">
            <w:pPr>
              <w:rPr>
                <w:rFonts w:asciiTheme="majorHAnsi" w:hAnsiTheme="majorHAnsi"/>
              </w:rPr>
            </w:pPr>
          </w:p>
        </w:tc>
        <w:tc>
          <w:tcPr>
            <w:tcW w:w="1560" w:type="pct"/>
          </w:tcPr>
          <w:p w14:paraId="199D48BE" w14:textId="77777777" w:rsidR="00E56832" w:rsidRPr="007A26CC" w:rsidRDefault="00E56832">
            <w:pPr>
              <w:rPr>
                <w:rFonts w:asciiTheme="majorHAnsi" w:hAnsiTheme="majorHAnsi"/>
              </w:rPr>
            </w:pPr>
          </w:p>
        </w:tc>
      </w:tr>
      <w:tr w:rsidR="00C20468" w:rsidRPr="007A26CC" w14:paraId="12F3F3FC" w14:textId="77777777" w:rsidTr="00C20468">
        <w:tc>
          <w:tcPr>
            <w:tcW w:w="3440" w:type="pct"/>
          </w:tcPr>
          <w:p w14:paraId="13BC2ED1" w14:textId="355CCEA9" w:rsidR="00E56832" w:rsidRDefault="008E17E2">
            <w:pPr>
              <w:rPr>
                <w:rFonts w:asciiTheme="majorHAnsi" w:hAnsiTheme="majorHAnsi"/>
              </w:rPr>
            </w:pPr>
            <w:r w:rsidRPr="00703B87">
              <w:rPr>
                <w:rFonts w:asciiTheme="majorHAnsi" w:hAnsiTheme="majorHAnsi"/>
                <w:b/>
              </w:rPr>
              <w:t>Increase in Independent Study opportunities and/or other “non seat time” ways in which students may earn credits through demonstrations of mastery</w:t>
            </w:r>
            <w:r>
              <w:rPr>
                <w:rFonts w:asciiTheme="majorHAnsi" w:hAnsiTheme="majorHAnsi"/>
              </w:rPr>
              <w:t xml:space="preserve">   (Increasingly, some seats are beginning to allow and encourage high school credits which do not necessarily involve Carnegie units/seat time.)</w:t>
            </w:r>
          </w:p>
          <w:p w14:paraId="0B05A45C" w14:textId="0BF6BCF8" w:rsidR="008E17E2" w:rsidRPr="007A26CC" w:rsidRDefault="008E17E2">
            <w:pPr>
              <w:rPr>
                <w:rFonts w:asciiTheme="majorHAnsi" w:hAnsiTheme="majorHAnsi"/>
              </w:rPr>
            </w:pPr>
          </w:p>
        </w:tc>
        <w:tc>
          <w:tcPr>
            <w:tcW w:w="1560" w:type="pct"/>
          </w:tcPr>
          <w:p w14:paraId="727F2679" w14:textId="77777777" w:rsidR="00E56832" w:rsidRPr="007A26CC" w:rsidRDefault="00E56832">
            <w:pPr>
              <w:rPr>
                <w:rFonts w:asciiTheme="majorHAnsi" w:hAnsiTheme="majorHAnsi"/>
              </w:rPr>
            </w:pPr>
          </w:p>
        </w:tc>
      </w:tr>
      <w:tr w:rsidR="00C20468" w:rsidRPr="007A26CC" w14:paraId="2B1CC286" w14:textId="77777777" w:rsidTr="00C20468">
        <w:tc>
          <w:tcPr>
            <w:tcW w:w="3440" w:type="pct"/>
          </w:tcPr>
          <w:p w14:paraId="25ECA69E" w14:textId="36F8A26A" w:rsidR="00E56832" w:rsidRDefault="00703B87">
            <w:pPr>
              <w:rPr>
                <w:rFonts w:asciiTheme="majorHAnsi" w:hAnsiTheme="majorHAnsi"/>
              </w:rPr>
            </w:pPr>
            <w:r w:rsidRPr="00033F82">
              <w:rPr>
                <w:rFonts w:asciiTheme="majorHAnsi" w:hAnsiTheme="majorHAnsi"/>
                <w:b/>
              </w:rPr>
              <w:t>“Classroom” Space Opportunities and the Creative Use of Space</w:t>
            </w:r>
            <w:r>
              <w:rPr>
                <w:rFonts w:asciiTheme="majorHAnsi" w:hAnsiTheme="majorHAnsi"/>
              </w:rPr>
              <w:t xml:space="preserve"> (For example, a drama class might actually be taught in the school auditorium OR multipurpose room or an advisory section might meet in a certain area of the library or cafeteria, etc. OR a school might offer a class in a space in a nearby facility. (i.e., community center, Parks and Recreation Building, meeting room in a public library; classroom/meeting facilities at a neighborhood church, bank or hospital or industry/government/community/postsecondary partner)</w:t>
            </w:r>
          </w:p>
          <w:p w14:paraId="33E3C01F" w14:textId="4A83309C" w:rsidR="00703B87" w:rsidRPr="007A26CC" w:rsidRDefault="00703B87">
            <w:pPr>
              <w:rPr>
                <w:rFonts w:asciiTheme="majorHAnsi" w:hAnsiTheme="majorHAnsi"/>
              </w:rPr>
            </w:pPr>
          </w:p>
        </w:tc>
        <w:tc>
          <w:tcPr>
            <w:tcW w:w="1560" w:type="pct"/>
          </w:tcPr>
          <w:p w14:paraId="434E3A3B" w14:textId="77777777" w:rsidR="00E56832" w:rsidRPr="007A26CC" w:rsidRDefault="00E56832">
            <w:pPr>
              <w:rPr>
                <w:rFonts w:asciiTheme="majorHAnsi" w:hAnsiTheme="majorHAnsi"/>
              </w:rPr>
            </w:pPr>
          </w:p>
        </w:tc>
      </w:tr>
      <w:tr w:rsidR="00C20468" w:rsidRPr="007A26CC" w14:paraId="400299F1" w14:textId="77777777" w:rsidTr="00C20468">
        <w:tc>
          <w:tcPr>
            <w:tcW w:w="3440" w:type="pct"/>
          </w:tcPr>
          <w:p w14:paraId="62C8D32E" w14:textId="3E4FE715" w:rsidR="00E56832" w:rsidRDefault="00703B87">
            <w:pPr>
              <w:rPr>
                <w:rFonts w:asciiTheme="majorHAnsi" w:hAnsiTheme="majorHAnsi"/>
              </w:rPr>
            </w:pPr>
            <w:r w:rsidRPr="00033F82">
              <w:rPr>
                <w:rFonts w:asciiTheme="majorHAnsi" w:hAnsiTheme="majorHAnsi"/>
                <w:b/>
              </w:rPr>
              <w:t>Flexible Scheduling and the Creative Use of Time</w:t>
            </w:r>
            <w:r>
              <w:rPr>
                <w:rFonts w:asciiTheme="majorHAnsi" w:hAnsiTheme="majorHAnsi"/>
              </w:rPr>
              <w:t xml:space="preserve"> (Ability to offer before school, after school, Saturday, evening, and/or virtual courses to </w:t>
            </w:r>
            <w:r w:rsidR="00593D64">
              <w:rPr>
                <w:rFonts w:asciiTheme="majorHAnsi" w:hAnsiTheme="majorHAnsi"/>
              </w:rPr>
              <w:t>increase scheduling flexibility and</w:t>
            </w:r>
            <w:r>
              <w:rPr>
                <w:rFonts w:asciiTheme="majorHAnsi" w:hAnsiTheme="majorHAnsi"/>
              </w:rPr>
              <w:t xml:space="preserve"> innovative scheduling.</w:t>
            </w:r>
            <w:r w:rsidR="00B9481D">
              <w:rPr>
                <w:rFonts w:asciiTheme="majorHAnsi" w:hAnsiTheme="majorHAnsi"/>
              </w:rPr>
              <w:t xml:space="preserve">  For example, some schools offer an intercession in which students take an intensive one semester class in three to four weeks time.)</w:t>
            </w:r>
          </w:p>
          <w:p w14:paraId="095F6766" w14:textId="7B7B9D9D" w:rsidR="00593D64" w:rsidRPr="007A26CC" w:rsidRDefault="00593D64">
            <w:pPr>
              <w:rPr>
                <w:rFonts w:asciiTheme="majorHAnsi" w:hAnsiTheme="majorHAnsi"/>
              </w:rPr>
            </w:pPr>
          </w:p>
        </w:tc>
        <w:tc>
          <w:tcPr>
            <w:tcW w:w="1560" w:type="pct"/>
          </w:tcPr>
          <w:p w14:paraId="2C0E69EE" w14:textId="77777777" w:rsidR="00E56832" w:rsidRPr="007A26CC" w:rsidRDefault="00E56832">
            <w:pPr>
              <w:rPr>
                <w:rFonts w:asciiTheme="majorHAnsi" w:hAnsiTheme="majorHAnsi"/>
              </w:rPr>
            </w:pPr>
          </w:p>
        </w:tc>
      </w:tr>
      <w:tr w:rsidR="00C20468" w:rsidRPr="007A26CC" w14:paraId="2CD9788A" w14:textId="77777777" w:rsidTr="00C20468">
        <w:tc>
          <w:tcPr>
            <w:tcW w:w="3440" w:type="pct"/>
          </w:tcPr>
          <w:p w14:paraId="6785FD88" w14:textId="5562020C" w:rsidR="00E56832" w:rsidRDefault="00B9481D" w:rsidP="006E6B0F">
            <w:pPr>
              <w:rPr>
                <w:rFonts w:asciiTheme="majorHAnsi" w:hAnsiTheme="majorHAnsi"/>
              </w:rPr>
            </w:pPr>
            <w:r w:rsidRPr="005C60D7">
              <w:rPr>
                <w:rFonts w:asciiTheme="majorHAnsi" w:hAnsiTheme="majorHAnsi"/>
                <w:b/>
              </w:rPr>
              <w:t>Special Opportunities Related to Linked Learning Pathways, College and Career Academies, and Small Learning Communities</w:t>
            </w:r>
            <w:r>
              <w:rPr>
                <w:rFonts w:asciiTheme="majorHAnsi" w:hAnsiTheme="majorHAnsi"/>
              </w:rPr>
              <w:t xml:space="preserve">. (The fact that Pathways/Academies/SLCs are heterogeneous results in the elimination of many previously tracked classes that were often singletons or doubletons and SLC implementation can actually ease many of the scheduling challenges. It is also possible to code and schedule a block of SLC classes as if </w:t>
            </w:r>
            <w:r w:rsidR="006E6B0F">
              <w:rPr>
                <w:rFonts w:asciiTheme="majorHAnsi" w:hAnsiTheme="majorHAnsi"/>
              </w:rPr>
              <w:t xml:space="preserve">the “block” </w:t>
            </w:r>
            <w:r>
              <w:rPr>
                <w:rFonts w:asciiTheme="majorHAnsi" w:hAnsiTheme="majorHAnsi"/>
              </w:rPr>
              <w:t>were a giant singleton (which happens to run three or four consecutive periods); this strategy, too, can make the master schedule building process easier. Increasingly, many schools with wall-t</w:t>
            </w:r>
            <w:r w:rsidR="006E6B0F">
              <w:rPr>
                <w:rFonts w:asciiTheme="majorHAnsi" w:hAnsiTheme="majorHAnsi"/>
              </w:rPr>
              <w:t xml:space="preserve">o-wall pathways/academies/SLCs </w:t>
            </w:r>
            <w:r>
              <w:rPr>
                <w:rFonts w:asciiTheme="majorHAnsi" w:hAnsiTheme="majorHAnsi"/>
              </w:rPr>
              <w:t xml:space="preserve">use a collaborative process to determine when certain global courses will be offered allow pathway/Academy SLC leads/teams to develop their own respective schedules and </w:t>
            </w:r>
            <w:r w:rsidR="005C60D7">
              <w:rPr>
                <w:rFonts w:asciiTheme="majorHAnsi" w:hAnsiTheme="majorHAnsi"/>
              </w:rPr>
              <w:t>to schedule their own students.)</w:t>
            </w:r>
          </w:p>
          <w:p w14:paraId="3ED87B28" w14:textId="6E41A5E4" w:rsidR="006E6B0F" w:rsidRPr="007A26CC" w:rsidRDefault="006E6B0F" w:rsidP="006E6B0F">
            <w:pPr>
              <w:rPr>
                <w:rFonts w:asciiTheme="majorHAnsi" w:hAnsiTheme="majorHAnsi"/>
              </w:rPr>
            </w:pPr>
          </w:p>
        </w:tc>
        <w:tc>
          <w:tcPr>
            <w:tcW w:w="1560" w:type="pct"/>
          </w:tcPr>
          <w:p w14:paraId="11F987C0" w14:textId="77777777" w:rsidR="00E56832" w:rsidRPr="007A26CC" w:rsidRDefault="00E56832">
            <w:pPr>
              <w:rPr>
                <w:rFonts w:asciiTheme="majorHAnsi" w:hAnsiTheme="majorHAnsi"/>
              </w:rPr>
            </w:pPr>
          </w:p>
        </w:tc>
      </w:tr>
      <w:tr w:rsidR="00C20468" w:rsidRPr="007A26CC" w14:paraId="5707411A" w14:textId="77777777" w:rsidTr="00C20468">
        <w:tc>
          <w:tcPr>
            <w:tcW w:w="3440" w:type="pct"/>
          </w:tcPr>
          <w:p w14:paraId="2C1FCDBE" w14:textId="5B24BA97" w:rsidR="00E56832" w:rsidRDefault="005C60D7">
            <w:pPr>
              <w:rPr>
                <w:rFonts w:asciiTheme="majorHAnsi" w:hAnsiTheme="majorHAnsi"/>
              </w:rPr>
            </w:pPr>
            <w:r w:rsidRPr="005C60D7">
              <w:rPr>
                <w:rFonts w:asciiTheme="majorHAnsi" w:hAnsiTheme="majorHAnsi"/>
                <w:b/>
              </w:rPr>
              <w:t>Specialized Technology and Software Assets</w:t>
            </w:r>
            <w:r>
              <w:rPr>
                <w:rFonts w:asciiTheme="majorHAnsi" w:hAnsiTheme="majorHAnsi"/>
              </w:rPr>
              <w:t xml:space="preserve"> (Master schedule software programs and/or web-based master schedule programs vary greatly in their abilities to support successful scheduling and implementation of Pathways/Academies/SLCs. Some schools offer online course registration, with special screens/entry fields related to Pathways/Academies/SLCs; schools in which technology is prevalent can easily communicate information about the master schedule process and master schedule decisions to faculty and other stakeholders on a regular basis. Many schools use their school websites to share information on the master schedule with students, parents, and other stakeholders; schools often use online surveys to garner input and/or feedback on the master schedule process and product.) </w:t>
            </w:r>
          </w:p>
          <w:p w14:paraId="2DF20AEB" w14:textId="30AB065C" w:rsidR="005C60D7" w:rsidRPr="007A26CC" w:rsidRDefault="005C60D7">
            <w:pPr>
              <w:rPr>
                <w:rFonts w:asciiTheme="majorHAnsi" w:hAnsiTheme="majorHAnsi"/>
              </w:rPr>
            </w:pPr>
          </w:p>
        </w:tc>
        <w:tc>
          <w:tcPr>
            <w:tcW w:w="1560" w:type="pct"/>
          </w:tcPr>
          <w:p w14:paraId="3999A978" w14:textId="77777777" w:rsidR="00E56832" w:rsidRPr="007A26CC" w:rsidRDefault="00E56832">
            <w:pPr>
              <w:rPr>
                <w:rFonts w:asciiTheme="majorHAnsi" w:hAnsiTheme="majorHAnsi"/>
              </w:rPr>
            </w:pPr>
          </w:p>
        </w:tc>
      </w:tr>
      <w:tr w:rsidR="00C20468" w:rsidRPr="007A26CC" w14:paraId="31FCF9D1" w14:textId="77777777" w:rsidTr="00C20468">
        <w:tc>
          <w:tcPr>
            <w:tcW w:w="3440" w:type="pct"/>
          </w:tcPr>
          <w:p w14:paraId="4A8F89A0" w14:textId="77777777" w:rsidR="00E56832" w:rsidRDefault="005C60D7">
            <w:pPr>
              <w:rPr>
                <w:rFonts w:asciiTheme="majorHAnsi" w:hAnsiTheme="majorHAnsi"/>
              </w:rPr>
            </w:pPr>
            <w:r w:rsidRPr="00B70819">
              <w:rPr>
                <w:rFonts w:asciiTheme="majorHAnsi" w:hAnsiTheme="majorHAnsi"/>
                <w:b/>
              </w:rPr>
              <w:t>Easy Access to Public Transportation</w:t>
            </w:r>
            <w:r>
              <w:rPr>
                <w:rFonts w:asciiTheme="majorHAnsi" w:hAnsiTheme="majorHAnsi"/>
              </w:rPr>
              <w:t xml:space="preserve"> (Easy public transportation access makes possible more before and after school courses and/or other programs/clubs/sports; transportation to nearby colleges/dual enrollment, etc.)</w:t>
            </w:r>
          </w:p>
          <w:p w14:paraId="4C595A7C" w14:textId="2B171CC5" w:rsidR="00B70819" w:rsidRPr="007A26CC" w:rsidRDefault="00B70819">
            <w:pPr>
              <w:rPr>
                <w:rFonts w:asciiTheme="majorHAnsi" w:hAnsiTheme="majorHAnsi"/>
              </w:rPr>
            </w:pPr>
          </w:p>
        </w:tc>
        <w:tc>
          <w:tcPr>
            <w:tcW w:w="1560" w:type="pct"/>
          </w:tcPr>
          <w:p w14:paraId="1AF1314C" w14:textId="77777777" w:rsidR="00E56832" w:rsidRPr="007A26CC" w:rsidRDefault="00E56832">
            <w:pPr>
              <w:rPr>
                <w:rFonts w:asciiTheme="majorHAnsi" w:hAnsiTheme="majorHAnsi"/>
              </w:rPr>
            </w:pPr>
          </w:p>
        </w:tc>
      </w:tr>
      <w:tr w:rsidR="00C20468" w:rsidRPr="007A26CC" w14:paraId="24E3BAD6" w14:textId="77777777" w:rsidTr="00C20468">
        <w:tc>
          <w:tcPr>
            <w:tcW w:w="3440" w:type="pct"/>
          </w:tcPr>
          <w:p w14:paraId="276177EB" w14:textId="6142288B" w:rsidR="00E56832" w:rsidRDefault="00B70819" w:rsidP="00B70819">
            <w:pPr>
              <w:rPr>
                <w:rFonts w:asciiTheme="majorHAnsi" w:hAnsiTheme="majorHAnsi"/>
              </w:rPr>
            </w:pPr>
            <w:r w:rsidRPr="00B70819">
              <w:rPr>
                <w:rFonts w:asciiTheme="majorHAnsi" w:hAnsiTheme="majorHAnsi"/>
                <w:b/>
              </w:rPr>
              <w:t>Waivers</w:t>
            </w:r>
            <w:r>
              <w:rPr>
                <w:rFonts w:asciiTheme="majorHAnsi" w:hAnsiTheme="majorHAnsi"/>
              </w:rPr>
              <w:t xml:space="preserve"> (Sometimes an individual teacher requests a contractual waiver and offers to teach more than the contracted number of course preparations; sometimes faculty at the site vote for, approve, and secure a waiver to certain aspects of the bargaining agreement between the teachers’ union and the District; OR the school/district may seek and secure a waiver regarding one or more State requirements, such as flexibility in class size reductions, required instructional minutes, etc.)</w:t>
            </w:r>
          </w:p>
          <w:p w14:paraId="51088C29" w14:textId="5BE6268B" w:rsidR="00B70819" w:rsidRPr="007A26CC" w:rsidRDefault="00B70819" w:rsidP="00B70819">
            <w:pPr>
              <w:rPr>
                <w:rFonts w:asciiTheme="majorHAnsi" w:hAnsiTheme="majorHAnsi"/>
              </w:rPr>
            </w:pPr>
          </w:p>
        </w:tc>
        <w:tc>
          <w:tcPr>
            <w:tcW w:w="1560" w:type="pct"/>
          </w:tcPr>
          <w:p w14:paraId="4FF5D470" w14:textId="77777777" w:rsidR="00E56832" w:rsidRPr="007A26CC" w:rsidRDefault="00E56832">
            <w:pPr>
              <w:rPr>
                <w:rFonts w:asciiTheme="majorHAnsi" w:hAnsiTheme="majorHAnsi"/>
              </w:rPr>
            </w:pPr>
          </w:p>
        </w:tc>
      </w:tr>
      <w:tr w:rsidR="00C20468" w:rsidRPr="007A26CC" w14:paraId="7BC6DB2F" w14:textId="77777777" w:rsidTr="00C20468">
        <w:tc>
          <w:tcPr>
            <w:tcW w:w="3440" w:type="pct"/>
          </w:tcPr>
          <w:p w14:paraId="6155A9E3" w14:textId="2E63591C" w:rsidR="00E56832" w:rsidRDefault="0075514B">
            <w:pPr>
              <w:rPr>
                <w:rFonts w:asciiTheme="majorHAnsi" w:hAnsiTheme="majorHAnsi"/>
              </w:rPr>
            </w:pPr>
            <w:r>
              <w:rPr>
                <w:rFonts w:asciiTheme="majorHAnsi" w:hAnsiTheme="majorHAnsi"/>
              </w:rPr>
              <w:t>OTHER OPPORTUNITIES SPECIFIC TO OUR SITE:</w:t>
            </w:r>
          </w:p>
          <w:p w14:paraId="345E5360" w14:textId="77777777" w:rsidR="0075514B" w:rsidRDefault="0075514B">
            <w:pPr>
              <w:rPr>
                <w:rFonts w:asciiTheme="majorHAnsi" w:hAnsiTheme="majorHAnsi"/>
              </w:rPr>
            </w:pPr>
          </w:p>
          <w:p w14:paraId="2BBBA721" w14:textId="77777777" w:rsidR="0075514B" w:rsidRDefault="0075514B">
            <w:pPr>
              <w:rPr>
                <w:rFonts w:asciiTheme="majorHAnsi" w:hAnsiTheme="majorHAnsi"/>
              </w:rPr>
            </w:pPr>
          </w:p>
          <w:p w14:paraId="590773C1" w14:textId="77777777" w:rsidR="0075514B" w:rsidRDefault="0075514B">
            <w:pPr>
              <w:rPr>
                <w:rFonts w:asciiTheme="majorHAnsi" w:hAnsiTheme="majorHAnsi"/>
              </w:rPr>
            </w:pPr>
          </w:p>
          <w:p w14:paraId="0DF099FE" w14:textId="77777777" w:rsidR="0075514B" w:rsidRDefault="0075514B">
            <w:pPr>
              <w:rPr>
                <w:rFonts w:asciiTheme="majorHAnsi" w:hAnsiTheme="majorHAnsi"/>
              </w:rPr>
            </w:pPr>
          </w:p>
          <w:p w14:paraId="625067CF" w14:textId="77777777" w:rsidR="0075514B" w:rsidRDefault="0075514B">
            <w:pPr>
              <w:rPr>
                <w:rFonts w:asciiTheme="majorHAnsi" w:hAnsiTheme="majorHAnsi"/>
              </w:rPr>
            </w:pPr>
          </w:p>
          <w:p w14:paraId="4F8357AB" w14:textId="77777777" w:rsidR="0075514B" w:rsidRPr="007A26CC" w:rsidRDefault="0075514B">
            <w:pPr>
              <w:rPr>
                <w:rFonts w:asciiTheme="majorHAnsi" w:hAnsiTheme="majorHAnsi"/>
              </w:rPr>
            </w:pPr>
          </w:p>
        </w:tc>
        <w:tc>
          <w:tcPr>
            <w:tcW w:w="1560" w:type="pct"/>
          </w:tcPr>
          <w:p w14:paraId="7CC7103C" w14:textId="77777777" w:rsidR="00E56832" w:rsidRPr="007A26CC" w:rsidRDefault="00E56832">
            <w:pPr>
              <w:rPr>
                <w:rFonts w:asciiTheme="majorHAnsi" w:hAnsiTheme="majorHAnsi"/>
              </w:rPr>
            </w:pPr>
          </w:p>
        </w:tc>
      </w:tr>
      <w:tr w:rsidR="00C20468" w:rsidRPr="007A26CC" w14:paraId="0EBFAF0D" w14:textId="77777777" w:rsidTr="00C20468">
        <w:tc>
          <w:tcPr>
            <w:tcW w:w="3440" w:type="pct"/>
          </w:tcPr>
          <w:p w14:paraId="63EB1C9D" w14:textId="77777777" w:rsidR="00E56832" w:rsidRDefault="00E56832">
            <w:pPr>
              <w:rPr>
                <w:rFonts w:asciiTheme="majorHAnsi" w:hAnsiTheme="majorHAnsi"/>
              </w:rPr>
            </w:pPr>
          </w:p>
          <w:p w14:paraId="4DB5A6F3" w14:textId="77777777" w:rsidR="0075514B" w:rsidRDefault="0075514B">
            <w:pPr>
              <w:rPr>
                <w:rFonts w:asciiTheme="majorHAnsi" w:hAnsiTheme="majorHAnsi"/>
              </w:rPr>
            </w:pPr>
          </w:p>
          <w:p w14:paraId="4CD2920A" w14:textId="77777777" w:rsidR="0075514B" w:rsidRDefault="0075514B">
            <w:pPr>
              <w:rPr>
                <w:rFonts w:asciiTheme="majorHAnsi" w:hAnsiTheme="majorHAnsi"/>
              </w:rPr>
            </w:pPr>
          </w:p>
          <w:p w14:paraId="45397AB3" w14:textId="77777777" w:rsidR="0075514B" w:rsidRDefault="0075514B">
            <w:pPr>
              <w:rPr>
                <w:rFonts w:asciiTheme="majorHAnsi" w:hAnsiTheme="majorHAnsi"/>
              </w:rPr>
            </w:pPr>
          </w:p>
          <w:p w14:paraId="4925028A" w14:textId="77777777" w:rsidR="0075514B" w:rsidRDefault="0075514B">
            <w:pPr>
              <w:rPr>
                <w:rFonts w:asciiTheme="majorHAnsi" w:hAnsiTheme="majorHAnsi"/>
              </w:rPr>
            </w:pPr>
          </w:p>
          <w:p w14:paraId="2BDF35FC" w14:textId="77777777" w:rsidR="0075514B" w:rsidRDefault="0075514B">
            <w:pPr>
              <w:rPr>
                <w:rFonts w:asciiTheme="majorHAnsi" w:hAnsiTheme="majorHAnsi"/>
              </w:rPr>
            </w:pPr>
          </w:p>
          <w:p w14:paraId="16D390FD" w14:textId="77777777" w:rsidR="0075514B" w:rsidRPr="007A26CC" w:rsidRDefault="0075514B">
            <w:pPr>
              <w:rPr>
                <w:rFonts w:asciiTheme="majorHAnsi" w:hAnsiTheme="majorHAnsi"/>
              </w:rPr>
            </w:pPr>
          </w:p>
        </w:tc>
        <w:tc>
          <w:tcPr>
            <w:tcW w:w="1560" w:type="pct"/>
          </w:tcPr>
          <w:p w14:paraId="4D6DF793" w14:textId="77777777" w:rsidR="00E56832" w:rsidRPr="007A26CC" w:rsidRDefault="00E56832">
            <w:pPr>
              <w:rPr>
                <w:rFonts w:asciiTheme="majorHAnsi" w:hAnsiTheme="majorHAnsi"/>
              </w:rPr>
            </w:pPr>
          </w:p>
        </w:tc>
      </w:tr>
      <w:tr w:rsidR="00C20468" w:rsidRPr="007A26CC" w14:paraId="3CE85BB5" w14:textId="77777777" w:rsidTr="00C20468">
        <w:tc>
          <w:tcPr>
            <w:tcW w:w="3440" w:type="pct"/>
          </w:tcPr>
          <w:p w14:paraId="2D26D3D3" w14:textId="77777777" w:rsidR="00E56832" w:rsidRDefault="00E56832">
            <w:pPr>
              <w:rPr>
                <w:rFonts w:asciiTheme="majorHAnsi" w:hAnsiTheme="majorHAnsi"/>
              </w:rPr>
            </w:pPr>
          </w:p>
          <w:p w14:paraId="4598FFDF" w14:textId="77777777" w:rsidR="0075514B" w:rsidRDefault="0075514B">
            <w:pPr>
              <w:rPr>
                <w:rFonts w:asciiTheme="majorHAnsi" w:hAnsiTheme="majorHAnsi"/>
              </w:rPr>
            </w:pPr>
          </w:p>
          <w:p w14:paraId="199CED06" w14:textId="77777777" w:rsidR="0075514B" w:rsidRDefault="0075514B">
            <w:pPr>
              <w:rPr>
                <w:rFonts w:asciiTheme="majorHAnsi" w:hAnsiTheme="majorHAnsi"/>
              </w:rPr>
            </w:pPr>
          </w:p>
          <w:p w14:paraId="343DBEF2" w14:textId="77777777" w:rsidR="0075514B" w:rsidRDefault="0075514B">
            <w:pPr>
              <w:rPr>
                <w:rFonts w:asciiTheme="majorHAnsi" w:hAnsiTheme="majorHAnsi"/>
              </w:rPr>
            </w:pPr>
          </w:p>
          <w:p w14:paraId="3FD3137E" w14:textId="77777777" w:rsidR="0075514B" w:rsidRDefault="0075514B">
            <w:pPr>
              <w:rPr>
                <w:rFonts w:asciiTheme="majorHAnsi" w:hAnsiTheme="majorHAnsi"/>
              </w:rPr>
            </w:pPr>
          </w:p>
          <w:p w14:paraId="1F9FB0DA" w14:textId="77777777" w:rsidR="0075514B" w:rsidRDefault="0075514B">
            <w:pPr>
              <w:rPr>
                <w:rFonts w:asciiTheme="majorHAnsi" w:hAnsiTheme="majorHAnsi"/>
              </w:rPr>
            </w:pPr>
          </w:p>
          <w:p w14:paraId="6AAB47BB" w14:textId="77777777" w:rsidR="0075514B" w:rsidRPr="007A26CC" w:rsidRDefault="0075514B">
            <w:pPr>
              <w:rPr>
                <w:rFonts w:asciiTheme="majorHAnsi" w:hAnsiTheme="majorHAnsi"/>
              </w:rPr>
            </w:pPr>
          </w:p>
        </w:tc>
        <w:tc>
          <w:tcPr>
            <w:tcW w:w="1560" w:type="pct"/>
          </w:tcPr>
          <w:p w14:paraId="47EBD21C" w14:textId="77777777" w:rsidR="00E56832" w:rsidRPr="007A26CC" w:rsidRDefault="00E56832">
            <w:pPr>
              <w:rPr>
                <w:rFonts w:asciiTheme="majorHAnsi" w:hAnsiTheme="majorHAnsi"/>
              </w:rPr>
            </w:pPr>
          </w:p>
        </w:tc>
      </w:tr>
      <w:tr w:rsidR="00C20468" w:rsidRPr="007A26CC" w14:paraId="0D0A1113" w14:textId="77777777" w:rsidTr="00C20468">
        <w:tc>
          <w:tcPr>
            <w:tcW w:w="3440" w:type="pct"/>
          </w:tcPr>
          <w:p w14:paraId="7BDE3105" w14:textId="77777777" w:rsidR="00E56832" w:rsidRDefault="00E56832">
            <w:pPr>
              <w:rPr>
                <w:rFonts w:asciiTheme="majorHAnsi" w:hAnsiTheme="majorHAnsi"/>
              </w:rPr>
            </w:pPr>
          </w:p>
          <w:p w14:paraId="160B8754" w14:textId="77777777" w:rsidR="000A21B6" w:rsidRDefault="000A21B6">
            <w:pPr>
              <w:rPr>
                <w:rFonts w:asciiTheme="majorHAnsi" w:hAnsiTheme="majorHAnsi"/>
              </w:rPr>
            </w:pPr>
          </w:p>
          <w:p w14:paraId="53535464" w14:textId="77777777" w:rsidR="000A21B6" w:rsidRDefault="000A21B6">
            <w:pPr>
              <w:rPr>
                <w:rFonts w:asciiTheme="majorHAnsi" w:hAnsiTheme="majorHAnsi"/>
              </w:rPr>
            </w:pPr>
          </w:p>
          <w:p w14:paraId="3ED966FB" w14:textId="77777777" w:rsidR="000A21B6" w:rsidRDefault="000A21B6">
            <w:pPr>
              <w:rPr>
                <w:rFonts w:asciiTheme="majorHAnsi" w:hAnsiTheme="majorHAnsi"/>
              </w:rPr>
            </w:pPr>
          </w:p>
          <w:p w14:paraId="35507F2E" w14:textId="77777777" w:rsidR="000A21B6" w:rsidRDefault="000A21B6">
            <w:pPr>
              <w:rPr>
                <w:rFonts w:asciiTheme="majorHAnsi" w:hAnsiTheme="majorHAnsi"/>
              </w:rPr>
            </w:pPr>
          </w:p>
          <w:p w14:paraId="3912F8EF" w14:textId="77777777" w:rsidR="000A21B6" w:rsidRPr="007A26CC" w:rsidRDefault="000A21B6">
            <w:pPr>
              <w:rPr>
                <w:rFonts w:asciiTheme="majorHAnsi" w:hAnsiTheme="majorHAnsi"/>
              </w:rPr>
            </w:pPr>
            <w:bookmarkStart w:id="0" w:name="_GoBack"/>
            <w:bookmarkEnd w:id="0"/>
          </w:p>
        </w:tc>
        <w:tc>
          <w:tcPr>
            <w:tcW w:w="1560" w:type="pct"/>
          </w:tcPr>
          <w:p w14:paraId="27E4BBEC" w14:textId="77777777" w:rsidR="00E56832" w:rsidRPr="007A26CC" w:rsidRDefault="00E56832">
            <w:pPr>
              <w:rPr>
                <w:rFonts w:asciiTheme="majorHAnsi" w:hAnsiTheme="majorHAnsi"/>
              </w:rPr>
            </w:pPr>
          </w:p>
        </w:tc>
      </w:tr>
    </w:tbl>
    <w:p w14:paraId="5F1F0E32" w14:textId="77777777" w:rsidR="00E56832" w:rsidRPr="007A26CC" w:rsidRDefault="00E56832">
      <w:pPr>
        <w:rPr>
          <w:rFonts w:asciiTheme="majorHAnsi" w:hAnsiTheme="majorHAnsi"/>
        </w:rPr>
      </w:pPr>
    </w:p>
    <w:sectPr w:rsidR="00E56832" w:rsidRPr="007A26CC" w:rsidSect="00C204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CF461" w14:textId="77777777" w:rsidR="001D1FD6" w:rsidRDefault="001D1FD6" w:rsidP="001D1FD6">
      <w:r>
        <w:separator/>
      </w:r>
    </w:p>
  </w:endnote>
  <w:endnote w:type="continuationSeparator" w:id="0">
    <w:p w14:paraId="582EE9DD" w14:textId="77777777" w:rsidR="001D1FD6" w:rsidRDefault="001D1FD6" w:rsidP="001D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EAB2" w14:textId="77777777" w:rsidR="001D1FD6" w:rsidRDefault="001D1FD6" w:rsidP="00C41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297B5" w14:textId="77777777" w:rsidR="001D1FD6" w:rsidRDefault="001D1FD6" w:rsidP="001D1F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622A" w14:textId="77777777" w:rsidR="001D1FD6" w:rsidRDefault="001D1FD6" w:rsidP="00C41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1B6">
      <w:rPr>
        <w:rStyle w:val="PageNumber"/>
        <w:noProof/>
      </w:rPr>
      <w:t>1</w:t>
    </w:r>
    <w:r>
      <w:rPr>
        <w:rStyle w:val="PageNumber"/>
      </w:rPr>
      <w:fldChar w:fldCharType="end"/>
    </w:r>
  </w:p>
  <w:p w14:paraId="34F375B5" w14:textId="77777777" w:rsidR="001D1FD6" w:rsidRDefault="001D1FD6" w:rsidP="001D1F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0E75" w14:textId="77777777" w:rsidR="001D1FD6" w:rsidRDefault="001D1FD6" w:rsidP="001D1FD6">
      <w:r>
        <w:separator/>
      </w:r>
    </w:p>
  </w:footnote>
  <w:footnote w:type="continuationSeparator" w:id="0">
    <w:p w14:paraId="0F4FA9AC" w14:textId="77777777" w:rsidR="001D1FD6" w:rsidRDefault="001D1FD6" w:rsidP="001D1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32"/>
    <w:rsid w:val="00033F82"/>
    <w:rsid w:val="000A21B6"/>
    <w:rsid w:val="000D5E27"/>
    <w:rsid w:val="001D1FD6"/>
    <w:rsid w:val="002C6180"/>
    <w:rsid w:val="00593D64"/>
    <w:rsid w:val="005C60D7"/>
    <w:rsid w:val="006E6B0F"/>
    <w:rsid w:val="00703B87"/>
    <w:rsid w:val="0075514B"/>
    <w:rsid w:val="007A26CC"/>
    <w:rsid w:val="007D3C19"/>
    <w:rsid w:val="008E17E2"/>
    <w:rsid w:val="00974B42"/>
    <w:rsid w:val="009F12CD"/>
    <w:rsid w:val="00A667E6"/>
    <w:rsid w:val="00A93625"/>
    <w:rsid w:val="00B44853"/>
    <w:rsid w:val="00B70819"/>
    <w:rsid w:val="00B77743"/>
    <w:rsid w:val="00B9481D"/>
    <w:rsid w:val="00C20468"/>
    <w:rsid w:val="00C4283C"/>
    <w:rsid w:val="00E5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AA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D1FD6"/>
    <w:pPr>
      <w:tabs>
        <w:tab w:val="center" w:pos="4320"/>
        <w:tab w:val="right" w:pos="8640"/>
      </w:tabs>
    </w:pPr>
  </w:style>
  <w:style w:type="character" w:customStyle="1" w:styleId="FooterChar">
    <w:name w:val="Footer Char"/>
    <w:basedOn w:val="DefaultParagraphFont"/>
    <w:link w:val="Footer"/>
    <w:uiPriority w:val="99"/>
    <w:rsid w:val="001D1FD6"/>
  </w:style>
  <w:style w:type="character" w:styleId="PageNumber">
    <w:name w:val="page number"/>
    <w:basedOn w:val="DefaultParagraphFont"/>
    <w:uiPriority w:val="99"/>
    <w:semiHidden/>
    <w:unhideWhenUsed/>
    <w:rsid w:val="001D1F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D1FD6"/>
    <w:pPr>
      <w:tabs>
        <w:tab w:val="center" w:pos="4320"/>
        <w:tab w:val="right" w:pos="8640"/>
      </w:tabs>
    </w:pPr>
  </w:style>
  <w:style w:type="character" w:customStyle="1" w:styleId="FooterChar">
    <w:name w:val="Footer Char"/>
    <w:basedOn w:val="DefaultParagraphFont"/>
    <w:link w:val="Footer"/>
    <w:uiPriority w:val="99"/>
    <w:rsid w:val="001D1FD6"/>
  </w:style>
  <w:style w:type="character" w:styleId="PageNumber">
    <w:name w:val="page number"/>
    <w:basedOn w:val="DefaultParagraphFont"/>
    <w:uiPriority w:val="99"/>
    <w:semiHidden/>
    <w:unhideWhenUsed/>
    <w:rsid w:val="001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6333</Characters>
  <Application>Microsoft Macintosh Word</Application>
  <DocSecurity>0</DocSecurity>
  <Lines>52</Lines>
  <Paragraphs>14</Paragraphs>
  <ScaleCrop>false</ScaleCrop>
  <Company>UCB</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2014-03-08T20:18:00Z</dcterms:created>
  <dcterms:modified xsi:type="dcterms:W3CDTF">2014-03-08T20:18:00Z</dcterms:modified>
</cp:coreProperties>
</file>